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208F" w14:textId="36D265F7" w:rsidR="004A2AAC" w:rsidRDefault="004A2AAC" w:rsidP="004A2AAC">
      <w:pPr>
        <w:rPr>
          <w:rFonts w:ascii="Times New Roman" w:hAnsi="Times New Roman" w:cs="Times New Roman"/>
          <w:b/>
          <w:sz w:val="24"/>
          <w:szCs w:val="24"/>
        </w:rPr>
      </w:pPr>
      <w:r w:rsidRPr="00D67351">
        <w:rPr>
          <w:rFonts w:asciiTheme="majorBidi" w:eastAsia="SimSun" w:hAnsiTheme="majorBidi" w:cstheme="majorBidi"/>
          <w:b/>
          <w:bCs/>
          <w:noProof/>
          <w:sz w:val="24"/>
          <w:szCs w:val="24"/>
        </w:rPr>
        <w:drawing>
          <wp:anchor distT="0" distB="0" distL="114300" distR="114300" simplePos="0" relativeHeight="251660288" behindDoc="0" locked="0" layoutInCell="1" allowOverlap="1" wp14:anchorId="42ABDE00" wp14:editId="08C8515D">
            <wp:simplePos x="0" y="0"/>
            <wp:positionH relativeFrom="margin">
              <wp:posOffset>2400300</wp:posOffset>
            </wp:positionH>
            <wp:positionV relativeFrom="paragraph">
              <wp:posOffset>-579755</wp:posOffset>
            </wp:positionV>
            <wp:extent cx="1228725" cy="1060450"/>
            <wp:effectExtent l="19050" t="19050" r="28575" b="25400"/>
            <wp:wrapNone/>
            <wp:docPr id="10" name="Picture 10"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yari:Desktop:Screen Shot 2014-12-01 at 15.35.32.png"/>
                    <pic:cNvPicPr>
                      <a:picLocks noChangeAspect="1" noChangeArrowheads="1"/>
                    </pic:cNvPicPr>
                  </pic:nvPicPr>
                  <pic:blipFill>
                    <a:blip r:embed="rId5" cstate="print">
                      <a:extLst>
                        <a:ext uri="{28A0092B-C50C-407E-A947-70E740481C1C}">
                          <a14:useLocalDpi xmlns:a14="http://schemas.microsoft.com/office/drawing/2010/main" val="0"/>
                        </a:ext>
                      </a:extLst>
                    </a:blip>
                    <a:srcRect t="482"/>
                    <a:stretch>
                      <a:fillRect/>
                    </a:stretch>
                  </pic:blipFill>
                  <pic:spPr bwMode="auto">
                    <a:xfrm>
                      <a:off x="0" y="0"/>
                      <a:ext cx="1228725" cy="1060450"/>
                    </a:xfrm>
                    <a:prstGeom prst="rect">
                      <a:avLst/>
                    </a:prstGeom>
                    <a:noFill/>
                    <a:ln w="9525">
                      <a:solidFill>
                        <a:srgbClr val="FFFFFF"/>
                      </a:solidFill>
                      <a:miter lim="800000"/>
                      <a:headEnd/>
                      <a:tailEnd/>
                    </a:ln>
                  </pic:spPr>
                </pic:pic>
              </a:graphicData>
            </a:graphic>
          </wp:anchor>
        </w:drawing>
      </w:r>
    </w:p>
    <w:p w14:paraId="3C92E444" w14:textId="77777777" w:rsidR="004A2AAC" w:rsidRDefault="004A2AAC" w:rsidP="004A2AAC">
      <w:pPr>
        <w:jc w:val="center"/>
        <w:rPr>
          <w:rFonts w:ascii="Times New Roman" w:hAnsi="Times New Roman" w:cs="Times New Roman"/>
          <w:b/>
          <w:sz w:val="24"/>
          <w:szCs w:val="24"/>
        </w:rPr>
      </w:pPr>
      <w:r w:rsidRPr="00D67351">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10F1F59" wp14:editId="0C324DC9">
                <wp:simplePos x="0" y="0"/>
                <wp:positionH relativeFrom="column">
                  <wp:posOffset>248920</wp:posOffset>
                </wp:positionH>
                <wp:positionV relativeFrom="paragraph">
                  <wp:posOffset>300990</wp:posOffset>
                </wp:positionV>
                <wp:extent cx="5358765" cy="10826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8765" cy="1082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9EBC53" w14:textId="77777777" w:rsidR="004A2AAC" w:rsidRDefault="004A2AAC" w:rsidP="000A29A4">
                            <w:pPr>
                              <w:spacing w:after="0" w:line="240" w:lineRule="auto"/>
                              <w:jc w:val="center"/>
                              <w:rPr>
                                <w:rFonts w:ascii="Arabic Typesetting" w:hAnsi="Arabic Typesetting" w:cs="Arabic Typesetting"/>
                                <w:b/>
                                <w:sz w:val="38"/>
                                <w:szCs w:val="38"/>
                                <w:lang w:bidi="fa-IR"/>
                              </w:rPr>
                            </w:pPr>
                            <w:r>
                              <w:rPr>
                                <w:rFonts w:ascii="Arabic Typesetting" w:hAnsi="Arabic Typesetting" w:cs="Arabic Typesetting"/>
                                <w:b/>
                                <w:sz w:val="38"/>
                                <w:szCs w:val="38"/>
                                <w:lang w:bidi="fa-IR"/>
                              </w:rPr>
                              <w:t>Islamic Republic of Afghanistan</w:t>
                            </w:r>
                          </w:p>
                          <w:p w14:paraId="68ABAE91" w14:textId="688D3298" w:rsidR="004A2AAC" w:rsidRDefault="00302FCA" w:rsidP="000A29A4">
                            <w:pPr>
                              <w:spacing w:after="0" w:line="240" w:lineRule="auto"/>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 xml:space="preserve">Da Afghanistan Breshna Sherkat </w:t>
                            </w:r>
                          </w:p>
                          <w:p w14:paraId="1D54D887" w14:textId="12F51915" w:rsidR="004A2AAC" w:rsidRDefault="00302FCA" w:rsidP="000A29A4">
                            <w:pPr>
                              <w:spacing w:after="0" w:line="240" w:lineRule="auto"/>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 xml:space="preserve">Admin and Finance Directorate </w:t>
                            </w:r>
                          </w:p>
                          <w:p w14:paraId="30D65C12" w14:textId="1D54C5B7" w:rsidR="004A2AAC" w:rsidRPr="00FC6789" w:rsidRDefault="00302FCA" w:rsidP="00302FCA">
                            <w:pPr>
                              <w:spacing w:after="0" w:line="240" w:lineRule="auto"/>
                              <w:jc w:val="center"/>
                              <w:rPr>
                                <w:rFonts w:ascii="Arabic Typesetting" w:eastAsia="Arial Unicode MS" w:hAnsi="Arabic Typesetting" w:cs="Arabic Typesetting"/>
                                <w:bCs/>
                                <w:sz w:val="40"/>
                                <w:szCs w:val="40"/>
                                <w:rtl/>
                              </w:rPr>
                            </w:pPr>
                            <w:r>
                              <w:rPr>
                                <w:rFonts w:ascii="Arabic Typesetting" w:hAnsi="Arabic Typesetting" w:cs="Arabic Typesetting"/>
                                <w:b/>
                                <w:sz w:val="32"/>
                                <w:szCs w:val="28"/>
                                <w:lang w:bidi="fa-IR"/>
                              </w:rPr>
                              <w:t xml:space="preserve">Procurement Directorate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F1F59" id="_x0000_t202" coordsize="21600,21600" o:spt="202" path="m,l,21600r21600,l21600,xe">
                <v:stroke joinstyle="miter"/>
                <v:path gradientshapeok="t" o:connecttype="rect"/>
              </v:shapetype>
              <v:shape id="Text Box 5" o:spid="_x0000_s1026" type="#_x0000_t202" style="position:absolute;left:0;text-align:left;margin-left:19.6pt;margin-top:23.7pt;width:421.9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" filled="f" stroked="f">
                <v:path arrowok="t"/>
                <v:textbox>
                  <w:txbxContent>
                    <w:p w14:paraId="549EBC53" w14:textId="77777777" w:rsidR="004A2AAC" w:rsidRDefault="004A2AAC" w:rsidP="000A29A4">
                      <w:pPr>
                        <w:spacing w:after="0" w:line="240" w:lineRule="auto"/>
                        <w:jc w:val="center"/>
                        <w:rPr>
                          <w:rFonts w:ascii="Arabic Typesetting" w:hAnsi="Arabic Typesetting" w:cs="Arabic Typesetting"/>
                          <w:b/>
                          <w:sz w:val="38"/>
                          <w:szCs w:val="38"/>
                          <w:lang w:bidi="fa-IR"/>
                        </w:rPr>
                      </w:pPr>
                      <w:r>
                        <w:rPr>
                          <w:rFonts w:ascii="Arabic Typesetting" w:hAnsi="Arabic Typesetting" w:cs="Arabic Typesetting"/>
                          <w:b/>
                          <w:sz w:val="38"/>
                          <w:szCs w:val="38"/>
                          <w:lang w:bidi="fa-IR"/>
                        </w:rPr>
                        <w:t>Islamic Republic of Afghanistan</w:t>
                      </w:r>
                    </w:p>
                    <w:p w14:paraId="68ABAE91" w14:textId="688D3298" w:rsidR="004A2AAC" w:rsidRDefault="00302FCA" w:rsidP="000A29A4">
                      <w:pPr>
                        <w:spacing w:after="0" w:line="240" w:lineRule="auto"/>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 xml:space="preserve">Da Afghanistan Breshna Sherkat </w:t>
                      </w:r>
                    </w:p>
                    <w:p w14:paraId="1D54D887" w14:textId="12F51915" w:rsidR="004A2AAC" w:rsidRDefault="00302FCA" w:rsidP="000A29A4">
                      <w:pPr>
                        <w:spacing w:after="0" w:line="240" w:lineRule="auto"/>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 xml:space="preserve">Admin and Finance Directorate </w:t>
                      </w:r>
                    </w:p>
                    <w:p w14:paraId="30D65C12" w14:textId="1D54C5B7" w:rsidR="004A2AAC" w:rsidRPr="00FC6789" w:rsidRDefault="00302FCA" w:rsidP="00302FCA">
                      <w:pPr>
                        <w:spacing w:after="0" w:line="240" w:lineRule="auto"/>
                        <w:jc w:val="center"/>
                        <w:rPr>
                          <w:rFonts w:ascii="Arabic Typesetting" w:eastAsia="Arial Unicode MS" w:hAnsi="Arabic Typesetting" w:cs="Arabic Typesetting"/>
                          <w:bCs/>
                          <w:sz w:val="40"/>
                          <w:szCs w:val="40"/>
                          <w:rtl/>
                        </w:rPr>
                      </w:pPr>
                      <w:r>
                        <w:rPr>
                          <w:rFonts w:ascii="Arabic Typesetting" w:hAnsi="Arabic Typesetting" w:cs="Arabic Typesetting"/>
                          <w:b/>
                          <w:sz w:val="32"/>
                          <w:szCs w:val="28"/>
                          <w:lang w:bidi="fa-IR"/>
                        </w:rPr>
                        <w:t xml:space="preserve">Procurement Directorate </w:t>
                      </w:r>
                    </w:p>
                  </w:txbxContent>
                </v:textbox>
              </v:shape>
            </w:pict>
          </mc:Fallback>
        </mc:AlternateContent>
      </w:r>
    </w:p>
    <w:p w14:paraId="6A4BE821" w14:textId="77777777" w:rsidR="004A2AAC" w:rsidRDefault="004A2AAC" w:rsidP="004A2AAC">
      <w:pPr>
        <w:pStyle w:val="Heading3"/>
        <w:jc w:val="center"/>
        <w:rPr>
          <w:rFonts w:asciiTheme="majorBidi" w:hAnsiTheme="majorBidi"/>
          <w:bCs/>
        </w:rPr>
      </w:pPr>
      <w:bookmarkStart w:id="0" w:name="_Toc505089560"/>
    </w:p>
    <w:p w14:paraId="7D153B9C" w14:textId="77777777" w:rsidR="004A2AAC" w:rsidRDefault="004A2AAC" w:rsidP="004A2AAC">
      <w:pPr>
        <w:pStyle w:val="Heading3"/>
        <w:jc w:val="center"/>
        <w:rPr>
          <w:rFonts w:asciiTheme="majorBidi" w:hAnsiTheme="majorBidi"/>
          <w:bCs/>
        </w:rPr>
      </w:pPr>
    </w:p>
    <w:p w14:paraId="329CD904" w14:textId="77777777" w:rsidR="004A2AAC" w:rsidRDefault="004A2AAC" w:rsidP="004A2AAC">
      <w:pPr>
        <w:pStyle w:val="Heading3"/>
        <w:jc w:val="center"/>
        <w:rPr>
          <w:rFonts w:asciiTheme="majorBidi" w:hAnsiTheme="majorBidi"/>
          <w:bCs/>
        </w:rPr>
      </w:pPr>
    </w:p>
    <w:p w14:paraId="463E4658" w14:textId="77777777" w:rsidR="004A2AAC" w:rsidRDefault="004A2AAC" w:rsidP="004A2AAC">
      <w:pPr>
        <w:pStyle w:val="Heading3"/>
        <w:jc w:val="center"/>
        <w:rPr>
          <w:rFonts w:asciiTheme="majorBidi" w:hAnsiTheme="majorBidi"/>
          <w:bCs/>
        </w:rPr>
      </w:pPr>
    </w:p>
    <w:p w14:paraId="5E1D7A47" w14:textId="77777777" w:rsidR="004A2AAC" w:rsidRDefault="004A2AAC" w:rsidP="004A2AAC">
      <w:pPr>
        <w:pStyle w:val="Heading3"/>
        <w:jc w:val="center"/>
        <w:rPr>
          <w:rFonts w:asciiTheme="majorBidi" w:hAnsiTheme="majorBidi"/>
          <w:bCs/>
        </w:rPr>
      </w:pPr>
    </w:p>
    <w:p w14:paraId="2BE8ED9B" w14:textId="77777777" w:rsidR="004A2AAC" w:rsidRDefault="00F272FE" w:rsidP="004A2AAC">
      <w:pPr>
        <w:pStyle w:val="Heading3"/>
        <w:jc w:val="center"/>
        <w:rPr>
          <w:rFonts w:asciiTheme="majorBidi" w:hAnsiTheme="majorBidi"/>
          <w:bCs/>
        </w:rPr>
      </w:pPr>
      <w:r>
        <w:rPr>
          <w:rFonts w:asciiTheme="majorBidi" w:hAnsiTheme="majorBidi"/>
          <w:bCs/>
        </w:rPr>
        <w:pict w14:anchorId="00DED132">
          <v:rect id="_x0000_i1025" style="width:0;height:1.5pt" o:hralign="center" o:hrstd="t" o:hr="t" fillcolor="#a0a0a0" stroked="f"/>
        </w:pict>
      </w:r>
    </w:p>
    <w:p w14:paraId="21F017CC" w14:textId="77777777" w:rsidR="004A2AAC" w:rsidRPr="00D67351" w:rsidRDefault="004A2AAC" w:rsidP="004A2AAC">
      <w:pPr>
        <w:pStyle w:val="Heading3"/>
        <w:jc w:val="center"/>
        <w:rPr>
          <w:rFonts w:asciiTheme="majorBidi" w:hAnsiTheme="majorBidi"/>
          <w:bCs/>
        </w:rPr>
      </w:pPr>
      <w:r w:rsidRPr="00D67351">
        <w:rPr>
          <w:rFonts w:asciiTheme="majorBidi" w:hAnsiTheme="majorBidi"/>
          <w:bCs/>
        </w:rPr>
        <w:t>REQUEST FOR EXPRESSIONS OF INTEREST (REOI)</w:t>
      </w:r>
      <w:bookmarkEnd w:id="0"/>
    </w:p>
    <w:p w14:paraId="12CDA156" w14:textId="77777777" w:rsidR="004A2AAC" w:rsidRPr="00FE18BB" w:rsidRDefault="004A2AAC" w:rsidP="00FE18BB">
      <w:pPr>
        <w:autoSpaceDE w:val="0"/>
        <w:autoSpaceDN w:val="0"/>
        <w:adjustRightInd w:val="0"/>
        <w:ind w:left="720" w:right="387"/>
        <w:jc w:val="center"/>
        <w:rPr>
          <w:rFonts w:asciiTheme="majorBidi" w:hAnsiTheme="majorBidi" w:cstheme="majorBidi"/>
          <w:b/>
          <w:bCs/>
          <w:smallCaps/>
          <w:sz w:val="24"/>
          <w:szCs w:val="24"/>
        </w:rPr>
      </w:pPr>
      <w:r w:rsidRPr="00D67351">
        <w:rPr>
          <w:rFonts w:asciiTheme="majorBidi" w:hAnsiTheme="majorBidi" w:cstheme="majorBidi"/>
          <w:b/>
          <w:bCs/>
          <w:smallCaps/>
          <w:sz w:val="24"/>
          <w:szCs w:val="24"/>
        </w:rPr>
        <w:t>(Consulting Services – Firms Selection)</w:t>
      </w:r>
    </w:p>
    <w:p w14:paraId="6372FD3F" w14:textId="6BE41FCE" w:rsidR="00302FCA" w:rsidRPr="003978FD" w:rsidRDefault="00FE18BB" w:rsidP="00051F7E">
      <w:pPr>
        <w:spacing w:line="240" w:lineRule="auto"/>
        <w:rPr>
          <w:rFonts w:asciiTheme="majorBidi" w:hAnsiTheme="majorBidi" w:cstheme="majorBidi"/>
          <w:b/>
          <w:bCs/>
          <w:sz w:val="24"/>
          <w:szCs w:val="24"/>
          <w:u w:val="single"/>
        </w:rPr>
      </w:pPr>
      <w:r w:rsidRPr="001B0D84">
        <w:rPr>
          <w:b/>
        </w:rPr>
        <w:t>Assignment Title</w:t>
      </w:r>
      <w:r>
        <w:rPr>
          <w:b/>
        </w:rPr>
        <w:t xml:space="preserve">: </w:t>
      </w:r>
      <w:r w:rsidR="00051F7E">
        <w:rPr>
          <w:b/>
        </w:rPr>
        <w:t xml:space="preserve">Consultancy Services for Hiring of </w:t>
      </w:r>
      <w:r w:rsidR="00051F7E" w:rsidRPr="00051F7E">
        <w:rPr>
          <w:rFonts w:asciiTheme="majorBidi" w:hAnsiTheme="majorBidi" w:cstheme="majorBidi"/>
          <w:b/>
          <w:kern w:val="26"/>
          <w:szCs w:val="24"/>
        </w:rPr>
        <w:t>INDEPENDENT ENGINEER</w:t>
      </w:r>
      <w:r w:rsidR="00051F7E">
        <w:rPr>
          <w:rFonts w:asciiTheme="majorBidi" w:hAnsiTheme="majorBidi" w:cstheme="majorBidi"/>
          <w:b/>
          <w:kern w:val="26"/>
          <w:szCs w:val="24"/>
        </w:rPr>
        <w:t xml:space="preserve"> (firm) </w:t>
      </w:r>
    </w:p>
    <w:p w14:paraId="22E68C84" w14:textId="59484AC7" w:rsidR="00FE18BB" w:rsidRPr="00147454" w:rsidRDefault="00FE18BB" w:rsidP="00185F08">
      <w:pPr>
        <w:pStyle w:val="BodyText"/>
        <w:rPr>
          <w:b/>
        </w:rPr>
      </w:pPr>
      <w:r w:rsidRPr="00147454">
        <w:rPr>
          <w:b/>
        </w:rPr>
        <w:t xml:space="preserve">Reference No. </w:t>
      </w:r>
      <w:r w:rsidR="00147454" w:rsidRPr="00147454">
        <w:rPr>
          <w:b/>
          <w:color w:val="C00000"/>
          <w:u w:val="single"/>
        </w:rPr>
        <w:t>DABS/98/ICB/NC/013</w:t>
      </w:r>
    </w:p>
    <w:p w14:paraId="4A8B9B7F" w14:textId="77777777" w:rsidR="00051F7E" w:rsidRDefault="00051F7E" w:rsidP="00185F08">
      <w:pPr>
        <w:spacing w:line="480" w:lineRule="auto"/>
        <w:jc w:val="both"/>
        <w:rPr>
          <w:rFonts w:asciiTheme="majorBidi" w:hAnsiTheme="majorBidi" w:cstheme="majorBidi"/>
          <w:b/>
          <w:bCs/>
          <w:sz w:val="24"/>
          <w:szCs w:val="24"/>
        </w:rPr>
      </w:pPr>
    </w:p>
    <w:p w14:paraId="310FC99C" w14:textId="77777777" w:rsidR="00CD5509" w:rsidRDefault="00CD5509" w:rsidP="00CD5509">
      <w:pPr>
        <w:pStyle w:val="Heading1"/>
        <w:numPr>
          <w:ilvl w:val="0"/>
          <w:numId w:val="34"/>
        </w:numPr>
        <w:spacing w:before="240" w:after="240" w:line="240" w:lineRule="auto"/>
        <w:ind w:left="720"/>
        <w:jc w:val="both"/>
        <w:rPr>
          <w:rFonts w:ascii="Arial" w:hAnsi="Arial" w:cs="Arial"/>
          <w:color w:val="auto"/>
          <w:sz w:val="22"/>
          <w:szCs w:val="22"/>
        </w:rPr>
      </w:pPr>
      <w:r>
        <w:rPr>
          <w:rFonts w:ascii="Arial" w:hAnsi="Arial" w:cs="Arial"/>
          <w:color w:val="auto"/>
          <w:sz w:val="22"/>
          <w:szCs w:val="22"/>
        </w:rPr>
        <w:t>Background</w:t>
      </w:r>
    </w:p>
    <w:p w14:paraId="45B63386" w14:textId="77777777" w:rsidR="00CD5509" w:rsidRDefault="00CD5509" w:rsidP="00CD5509">
      <w:pPr>
        <w:spacing w:after="0"/>
        <w:ind w:left="720"/>
        <w:jc w:val="both"/>
        <w:rPr>
          <w:rFonts w:ascii="Arial" w:hAnsi="Arial" w:cs="Arial"/>
          <w:iCs/>
        </w:rPr>
      </w:pPr>
      <w:r>
        <w:rPr>
          <w:rFonts w:ascii="Arial" w:hAnsi="Arial"/>
          <w:iCs/>
        </w:rPr>
        <w:t xml:space="preserve">The </w:t>
      </w:r>
      <w:proofErr w:type="spellStart"/>
      <w:r>
        <w:rPr>
          <w:rFonts w:ascii="Arial" w:hAnsi="Arial"/>
          <w:iCs/>
        </w:rPr>
        <w:t>Mazar</w:t>
      </w:r>
      <w:proofErr w:type="spellEnd"/>
      <w:r>
        <w:rPr>
          <w:rFonts w:ascii="Arial" w:hAnsi="Arial"/>
          <w:iCs/>
        </w:rPr>
        <w:t xml:space="preserve"> independent power plant (IPP) project (“</w:t>
      </w:r>
      <w:proofErr w:type="spellStart"/>
      <w:r>
        <w:rPr>
          <w:rFonts w:ascii="Arial" w:hAnsi="Arial"/>
          <w:iCs/>
        </w:rPr>
        <w:t>Mazar</w:t>
      </w:r>
      <w:proofErr w:type="spellEnd"/>
      <w:r>
        <w:rPr>
          <w:rFonts w:ascii="Arial" w:hAnsi="Arial"/>
          <w:iCs/>
        </w:rPr>
        <w:t xml:space="preserve"> IPP” or the “Project”) involves the design, development, engineering, procurement, installation, construction, erection, permitting, commissioning, testing, operation and maintenance of a 50MW (approx.) gas-fired reciprocating engine power plant located near the city of </w:t>
      </w:r>
      <w:proofErr w:type="spellStart"/>
      <w:r>
        <w:rPr>
          <w:rFonts w:ascii="Arial" w:hAnsi="Arial"/>
          <w:iCs/>
        </w:rPr>
        <w:t>Mazar</w:t>
      </w:r>
      <w:proofErr w:type="spellEnd"/>
      <w:r>
        <w:rPr>
          <w:rFonts w:ascii="Arial" w:hAnsi="Arial"/>
          <w:iCs/>
        </w:rPr>
        <w:t>-e-Sharif in the north-western region of Afghanistan. The Project will be implemented through a special purpose company, the Afghan Power Plant Company (“APPC” or “Project Company”) established by Ghazanfar Group (“GG”) and will be the first privately financed IPP in the country – the Project is therefore strongly supported by the government.</w:t>
      </w:r>
    </w:p>
    <w:p w14:paraId="79E36AF3" w14:textId="77777777" w:rsidR="00CD5509" w:rsidRDefault="00CD5509" w:rsidP="00CD5509">
      <w:pPr>
        <w:spacing w:after="120"/>
        <w:ind w:left="720"/>
        <w:jc w:val="both"/>
        <w:rPr>
          <w:rFonts w:ascii="Arial" w:hAnsi="Arial"/>
          <w:iCs/>
        </w:rPr>
      </w:pPr>
    </w:p>
    <w:p w14:paraId="248AF33A" w14:textId="77777777" w:rsidR="00CD5509" w:rsidRDefault="00CD5509" w:rsidP="00CD5509">
      <w:pPr>
        <w:spacing w:after="0"/>
        <w:ind w:left="720"/>
        <w:jc w:val="both"/>
        <w:rPr>
          <w:rFonts w:ascii="Arial" w:hAnsi="Arial"/>
          <w:iCs/>
        </w:rPr>
      </w:pPr>
      <w:r>
        <w:rPr>
          <w:rFonts w:ascii="Arial" w:hAnsi="Arial"/>
          <w:iCs/>
        </w:rPr>
        <w:t>A pipeline is being constructed by the Government of Islamic Republic of Afghanistan (“</w:t>
      </w:r>
      <w:proofErr w:type="spellStart"/>
      <w:r>
        <w:rPr>
          <w:rFonts w:ascii="Arial" w:hAnsi="Arial"/>
          <w:iCs/>
        </w:rPr>
        <w:t>GoIRA</w:t>
      </w:r>
      <w:proofErr w:type="spellEnd"/>
      <w:r>
        <w:rPr>
          <w:rFonts w:ascii="Arial" w:hAnsi="Arial"/>
          <w:iCs/>
        </w:rPr>
        <w:t xml:space="preserve">”) to supply gas to industrial area near the </w:t>
      </w:r>
      <w:proofErr w:type="spellStart"/>
      <w:r>
        <w:rPr>
          <w:rFonts w:ascii="Arial" w:hAnsi="Arial"/>
          <w:iCs/>
        </w:rPr>
        <w:t>Mazar</w:t>
      </w:r>
      <w:proofErr w:type="spellEnd"/>
      <w:r>
        <w:rPr>
          <w:rFonts w:ascii="Arial" w:hAnsi="Arial"/>
          <w:iCs/>
        </w:rPr>
        <w:t xml:space="preserve">-e-Sharif city and to meet gas requirement of </w:t>
      </w:r>
      <w:proofErr w:type="spellStart"/>
      <w:r>
        <w:rPr>
          <w:rFonts w:ascii="Arial" w:hAnsi="Arial"/>
          <w:iCs/>
        </w:rPr>
        <w:t>Mazar</w:t>
      </w:r>
      <w:proofErr w:type="spellEnd"/>
      <w:r>
        <w:rPr>
          <w:rFonts w:ascii="Arial" w:hAnsi="Arial"/>
          <w:iCs/>
        </w:rPr>
        <w:t xml:space="preserve"> IPP. World Bank is assisting </w:t>
      </w:r>
      <w:proofErr w:type="spellStart"/>
      <w:r>
        <w:rPr>
          <w:rFonts w:ascii="Arial" w:hAnsi="Arial"/>
          <w:iCs/>
        </w:rPr>
        <w:t>GoIRA</w:t>
      </w:r>
      <w:proofErr w:type="spellEnd"/>
      <w:r>
        <w:rPr>
          <w:rFonts w:ascii="Arial" w:hAnsi="Arial"/>
          <w:iCs/>
        </w:rPr>
        <w:t xml:space="preserve"> in overseeing the development of the pipeline. The Project will sell its entire output to Da Afghanistan </w:t>
      </w:r>
      <w:proofErr w:type="spellStart"/>
      <w:r>
        <w:rPr>
          <w:rFonts w:ascii="Arial" w:hAnsi="Arial"/>
          <w:iCs/>
        </w:rPr>
        <w:t>Breshna</w:t>
      </w:r>
      <w:proofErr w:type="spellEnd"/>
      <w:r>
        <w:rPr>
          <w:rFonts w:ascii="Arial" w:hAnsi="Arial"/>
          <w:iCs/>
        </w:rPr>
        <w:t xml:space="preserve"> </w:t>
      </w:r>
      <w:proofErr w:type="spellStart"/>
      <w:r>
        <w:rPr>
          <w:rFonts w:ascii="Arial" w:hAnsi="Arial"/>
          <w:iCs/>
        </w:rPr>
        <w:t>Sherkat</w:t>
      </w:r>
      <w:proofErr w:type="spellEnd"/>
      <w:r>
        <w:rPr>
          <w:rFonts w:ascii="Arial" w:hAnsi="Arial"/>
          <w:iCs/>
        </w:rPr>
        <w:t xml:space="preserve"> (“DABS” or “</w:t>
      </w:r>
      <w:proofErr w:type="spellStart"/>
      <w:r>
        <w:rPr>
          <w:rFonts w:ascii="Arial" w:hAnsi="Arial"/>
          <w:iCs/>
        </w:rPr>
        <w:t>Offtaker</w:t>
      </w:r>
      <w:proofErr w:type="spellEnd"/>
      <w:r>
        <w:rPr>
          <w:rFonts w:ascii="Arial" w:hAnsi="Arial"/>
          <w:iCs/>
        </w:rPr>
        <w:t xml:space="preserve">”) on a take-or-pay basis. DABS is </w:t>
      </w:r>
      <w:proofErr w:type="spellStart"/>
      <w:r>
        <w:rPr>
          <w:rFonts w:ascii="Arial" w:hAnsi="Arial"/>
          <w:iCs/>
        </w:rPr>
        <w:t>GoIRA</w:t>
      </w:r>
      <w:proofErr w:type="spellEnd"/>
      <w:r>
        <w:rPr>
          <w:rFonts w:ascii="Arial" w:hAnsi="Arial"/>
          <w:iCs/>
        </w:rPr>
        <w:t xml:space="preserve"> owned national electricity utility that operates and manages power generation, imports, transmission and distribution throughout Afghanistan.</w:t>
      </w:r>
    </w:p>
    <w:p w14:paraId="01A1B0CC" w14:textId="77777777" w:rsidR="00CD5509" w:rsidRDefault="00CD5509" w:rsidP="00CD5509">
      <w:pPr>
        <w:spacing w:after="120"/>
        <w:ind w:left="720"/>
        <w:jc w:val="both"/>
        <w:rPr>
          <w:rFonts w:ascii="Arial" w:hAnsi="Arial"/>
          <w:iCs/>
        </w:rPr>
      </w:pPr>
    </w:p>
    <w:p w14:paraId="3308227B" w14:textId="77777777" w:rsidR="00CD5509" w:rsidRDefault="00CD5509" w:rsidP="00CD5509">
      <w:pPr>
        <w:spacing w:after="0"/>
        <w:ind w:left="720"/>
        <w:jc w:val="both"/>
        <w:rPr>
          <w:rFonts w:ascii="Arial" w:hAnsi="Arial"/>
          <w:iCs/>
        </w:rPr>
      </w:pPr>
      <w:r>
        <w:rPr>
          <w:rFonts w:ascii="Arial" w:hAnsi="Arial"/>
          <w:iCs/>
        </w:rPr>
        <w:t xml:space="preserve">The Project Company has appointed an internationally recognized engineering, procurement and construction (“EPC”) contractor, under a lump-sum, turn-key EPC contract. </w:t>
      </w:r>
    </w:p>
    <w:p w14:paraId="5A1F8E24" w14:textId="77777777" w:rsidR="00CD5509" w:rsidRDefault="00CD5509" w:rsidP="00CD5509">
      <w:pPr>
        <w:spacing w:after="0"/>
        <w:ind w:left="720"/>
        <w:jc w:val="both"/>
        <w:rPr>
          <w:rFonts w:ascii="Arial" w:hAnsi="Arial"/>
          <w:iCs/>
        </w:rPr>
      </w:pPr>
    </w:p>
    <w:p w14:paraId="079CEF09" w14:textId="77777777" w:rsidR="00CD5509" w:rsidRDefault="00CD5509" w:rsidP="00CD5509">
      <w:pPr>
        <w:spacing w:after="0"/>
        <w:ind w:left="720"/>
        <w:jc w:val="both"/>
        <w:rPr>
          <w:rFonts w:ascii="Arial" w:hAnsi="Arial"/>
          <w:iCs/>
        </w:rPr>
      </w:pPr>
      <w:r>
        <w:rPr>
          <w:rFonts w:ascii="Arial" w:hAnsi="Arial"/>
          <w:iCs/>
        </w:rPr>
        <w:lastRenderedPageBreak/>
        <w:t xml:space="preserve">International Finance Corporation (“IFC”), the private arm of World Bank Group, is working with GG for transaction structuring and debt arrangement. Over the last 3 years IFC has been working with the GG and its legal and technical advisers on development and structuring of the Project. The Project agreements, including the Implementation Agreement (“IA”), the Power Purchase Agreement (“PPA”), and the Gas Sale and Purchase Agreement (“GSPA”), were signed by the relevant </w:t>
      </w:r>
      <w:proofErr w:type="spellStart"/>
      <w:r>
        <w:rPr>
          <w:rFonts w:ascii="Arial" w:hAnsi="Arial"/>
          <w:iCs/>
        </w:rPr>
        <w:t>GoIRA</w:t>
      </w:r>
      <w:proofErr w:type="spellEnd"/>
      <w:r>
        <w:rPr>
          <w:rFonts w:ascii="Arial" w:hAnsi="Arial"/>
          <w:iCs/>
        </w:rPr>
        <w:t xml:space="preserve"> entities and GG in January 2018. </w:t>
      </w:r>
      <w:proofErr w:type="spellStart"/>
      <w:r>
        <w:rPr>
          <w:rFonts w:ascii="Arial" w:hAnsi="Arial"/>
          <w:iCs/>
        </w:rPr>
        <w:t>GoIRA</w:t>
      </w:r>
      <w:proofErr w:type="spellEnd"/>
      <w:r>
        <w:rPr>
          <w:rFonts w:ascii="Arial" w:hAnsi="Arial"/>
          <w:iCs/>
        </w:rPr>
        <w:t xml:space="preserve"> will be backstopping </w:t>
      </w:r>
      <w:proofErr w:type="spellStart"/>
      <w:r>
        <w:rPr>
          <w:rFonts w:ascii="Arial" w:hAnsi="Arial"/>
          <w:iCs/>
        </w:rPr>
        <w:t>Offtaker</w:t>
      </w:r>
      <w:proofErr w:type="spellEnd"/>
      <w:r>
        <w:rPr>
          <w:rFonts w:ascii="Arial" w:hAnsi="Arial"/>
          <w:iCs/>
        </w:rPr>
        <w:t xml:space="preserve"> and gas supplier obligations under the PPA and the GSPA through a guarantee under the IA.</w:t>
      </w:r>
    </w:p>
    <w:p w14:paraId="2A8ACFF0" w14:textId="77777777" w:rsidR="00CD5509" w:rsidRDefault="00CD5509" w:rsidP="00CD5509">
      <w:pPr>
        <w:spacing w:after="0"/>
        <w:ind w:left="720"/>
        <w:jc w:val="both"/>
        <w:rPr>
          <w:rFonts w:ascii="Arial" w:hAnsi="Arial"/>
          <w:iCs/>
        </w:rPr>
      </w:pPr>
    </w:p>
    <w:p w14:paraId="2A57EF59" w14:textId="77777777" w:rsidR="00CD5509" w:rsidRDefault="00CD5509" w:rsidP="00CD5509">
      <w:pPr>
        <w:pStyle w:val="Heading1"/>
        <w:numPr>
          <w:ilvl w:val="0"/>
          <w:numId w:val="34"/>
        </w:numPr>
        <w:spacing w:before="240" w:after="240" w:line="240" w:lineRule="auto"/>
        <w:ind w:left="720"/>
        <w:jc w:val="both"/>
        <w:rPr>
          <w:rFonts w:ascii="Arial" w:hAnsi="Arial" w:cs="Arial"/>
          <w:color w:val="auto"/>
          <w:sz w:val="22"/>
          <w:szCs w:val="22"/>
        </w:rPr>
      </w:pPr>
      <w:r>
        <w:rPr>
          <w:rFonts w:ascii="Arial" w:eastAsia="Times New Roman" w:hAnsi="Arial"/>
          <w:b w:val="0"/>
          <w:bCs w:val="0"/>
          <w:iCs/>
          <w:color w:val="365F91"/>
        </w:rPr>
        <w:br w:type="page"/>
      </w:r>
      <w:bookmarkStart w:id="1" w:name="_Toc535779407"/>
      <w:bookmarkStart w:id="2" w:name="_Toc535781702"/>
      <w:bookmarkStart w:id="3" w:name="_Toc535779408"/>
      <w:bookmarkStart w:id="4" w:name="_Toc535781703"/>
      <w:bookmarkStart w:id="5" w:name="_Toc5788136"/>
      <w:bookmarkEnd w:id="1"/>
      <w:bookmarkEnd w:id="2"/>
      <w:bookmarkEnd w:id="3"/>
      <w:bookmarkEnd w:id="4"/>
      <w:r>
        <w:rPr>
          <w:rFonts w:ascii="Arial" w:hAnsi="Arial" w:cs="Arial"/>
          <w:color w:val="auto"/>
          <w:sz w:val="22"/>
          <w:szCs w:val="22"/>
        </w:rPr>
        <w:lastRenderedPageBreak/>
        <w:t>Definitions</w:t>
      </w:r>
      <w:bookmarkEnd w:id="5"/>
    </w:p>
    <w:p w14:paraId="0A85F5EA" w14:textId="77777777" w:rsidR="00CD5509" w:rsidRDefault="00CD5509" w:rsidP="00CD5509">
      <w:pPr>
        <w:ind w:left="720"/>
        <w:jc w:val="both"/>
        <w:rPr>
          <w:rFonts w:ascii="Arial" w:hAnsi="Arial" w:cs="Arial"/>
          <w:b/>
        </w:rPr>
      </w:pPr>
      <w:r>
        <w:rPr>
          <w:rFonts w:ascii="Arial" w:hAnsi="Arial"/>
        </w:rPr>
        <w:t xml:space="preserve">The following defined terms are used in this TOR: </w:t>
      </w:r>
    </w:p>
    <w:p w14:paraId="5037B78C" w14:textId="77777777" w:rsidR="00CD5509" w:rsidRDefault="00CD5509" w:rsidP="00CD5509">
      <w:pPr>
        <w:ind w:left="720"/>
        <w:jc w:val="both"/>
        <w:rPr>
          <w:rFonts w:ascii="Arial" w:hAnsi="Arial"/>
        </w:rPr>
      </w:pPr>
      <w:r>
        <w:rPr>
          <w:rFonts w:ascii="Arial" w:hAnsi="Arial"/>
        </w:rPr>
        <w:t>“</w:t>
      </w:r>
      <w:r>
        <w:rPr>
          <w:rFonts w:ascii="Arial" w:hAnsi="Arial"/>
          <w:b/>
        </w:rPr>
        <w:t>APPC</w:t>
      </w:r>
      <w:r>
        <w:rPr>
          <w:rFonts w:ascii="Arial" w:hAnsi="Arial"/>
        </w:rPr>
        <w:t>” means the Afghan Power Plant Company, the special purpose company incorporated in Afghanistan, established by Ghazanfar Group for the Project;</w:t>
      </w:r>
    </w:p>
    <w:p w14:paraId="04894FC7" w14:textId="77777777" w:rsidR="00CD5509" w:rsidRDefault="00CD5509" w:rsidP="00CD5509">
      <w:pPr>
        <w:ind w:left="720"/>
        <w:jc w:val="both"/>
        <w:rPr>
          <w:rFonts w:ascii="Arial" w:hAnsi="Arial"/>
        </w:rPr>
      </w:pPr>
      <w:r>
        <w:rPr>
          <w:rFonts w:ascii="Arial" w:hAnsi="Arial"/>
        </w:rPr>
        <w:t>“</w:t>
      </w:r>
      <w:r>
        <w:rPr>
          <w:rFonts w:ascii="Arial" w:hAnsi="Arial"/>
          <w:b/>
        </w:rPr>
        <w:t>DABS</w:t>
      </w:r>
      <w:r>
        <w:rPr>
          <w:rFonts w:ascii="Arial" w:hAnsi="Arial"/>
        </w:rPr>
        <w:t xml:space="preserve">” means Da Afghanistan </w:t>
      </w:r>
      <w:proofErr w:type="spellStart"/>
      <w:r>
        <w:rPr>
          <w:rFonts w:ascii="Arial" w:hAnsi="Arial"/>
        </w:rPr>
        <w:t>Breshna</w:t>
      </w:r>
      <w:proofErr w:type="spellEnd"/>
      <w:r>
        <w:rPr>
          <w:rFonts w:ascii="Arial" w:hAnsi="Arial"/>
        </w:rPr>
        <w:t xml:space="preserve"> </w:t>
      </w:r>
      <w:proofErr w:type="spellStart"/>
      <w:r>
        <w:rPr>
          <w:rFonts w:ascii="Arial" w:hAnsi="Arial"/>
        </w:rPr>
        <w:t>Sherkat</w:t>
      </w:r>
      <w:proofErr w:type="spellEnd"/>
      <w:r>
        <w:rPr>
          <w:rFonts w:ascii="Arial" w:hAnsi="Arial"/>
        </w:rPr>
        <w:t xml:space="preserve">, the </w:t>
      </w:r>
      <w:proofErr w:type="spellStart"/>
      <w:r>
        <w:rPr>
          <w:rFonts w:ascii="Arial" w:hAnsi="Arial"/>
        </w:rPr>
        <w:t>GoIRA</w:t>
      </w:r>
      <w:proofErr w:type="spellEnd"/>
      <w:r>
        <w:rPr>
          <w:rFonts w:ascii="Arial" w:hAnsi="Arial"/>
        </w:rPr>
        <w:t xml:space="preserve"> owned national electricity utility that operates and manages power generation, imports, transmission and distribution throughout Afghanistan.</w:t>
      </w:r>
    </w:p>
    <w:p w14:paraId="22C63792" w14:textId="77777777" w:rsidR="00CD5509" w:rsidRDefault="00CD5509" w:rsidP="00CD5509">
      <w:pPr>
        <w:ind w:left="720"/>
        <w:jc w:val="both"/>
        <w:rPr>
          <w:rFonts w:ascii="Arial" w:hAnsi="Arial"/>
        </w:rPr>
      </w:pPr>
      <w:r>
        <w:rPr>
          <w:rFonts w:ascii="Arial" w:hAnsi="Arial"/>
        </w:rPr>
        <w:t>“</w:t>
      </w:r>
      <w:r>
        <w:rPr>
          <w:rFonts w:ascii="Arial" w:hAnsi="Arial"/>
          <w:b/>
        </w:rPr>
        <w:t>Effective Date</w:t>
      </w:r>
      <w:r>
        <w:rPr>
          <w:rFonts w:ascii="Arial" w:hAnsi="Arial"/>
        </w:rPr>
        <w:t>” means the date means the date on which all conditions precedent set out in the PPA have been satisfied (including the entering into finance documents) or waived by the parties to the PPA;</w:t>
      </w:r>
    </w:p>
    <w:p w14:paraId="294EB14F" w14:textId="77777777" w:rsidR="00CD5509" w:rsidRDefault="00CD5509" w:rsidP="00CD5509">
      <w:pPr>
        <w:ind w:left="720"/>
        <w:jc w:val="both"/>
        <w:rPr>
          <w:rFonts w:ascii="Arial" w:hAnsi="Arial"/>
        </w:rPr>
      </w:pPr>
      <w:r>
        <w:rPr>
          <w:rFonts w:ascii="Arial" w:hAnsi="Arial"/>
        </w:rPr>
        <w:t>“</w:t>
      </w:r>
      <w:proofErr w:type="spellStart"/>
      <w:r>
        <w:rPr>
          <w:rFonts w:ascii="Arial" w:hAnsi="Arial"/>
          <w:b/>
        </w:rPr>
        <w:t>GoIRA</w:t>
      </w:r>
      <w:proofErr w:type="spellEnd"/>
      <w:r>
        <w:rPr>
          <w:rFonts w:ascii="Arial" w:hAnsi="Arial"/>
        </w:rPr>
        <w:t>” means the Government of Islamic Republic of Afghanistan;</w:t>
      </w:r>
    </w:p>
    <w:p w14:paraId="4AF4F24C" w14:textId="77777777" w:rsidR="00CD5509" w:rsidRDefault="00CD5509" w:rsidP="00CD5509">
      <w:pPr>
        <w:ind w:left="720"/>
        <w:jc w:val="both"/>
        <w:rPr>
          <w:rFonts w:ascii="Arial" w:hAnsi="Arial"/>
        </w:rPr>
      </w:pPr>
      <w:r>
        <w:rPr>
          <w:rFonts w:ascii="Arial" w:hAnsi="Arial"/>
        </w:rPr>
        <w:t>“</w:t>
      </w:r>
      <w:r>
        <w:rPr>
          <w:rFonts w:ascii="Arial" w:hAnsi="Arial"/>
          <w:b/>
        </w:rPr>
        <w:t>Independent Engineer</w:t>
      </w:r>
      <w:r>
        <w:rPr>
          <w:rFonts w:ascii="Arial" w:hAnsi="Arial"/>
        </w:rPr>
        <w:t xml:space="preserve">” means an independent consulting engineering company of international repute jointly selected and appointed by the Project Company and the </w:t>
      </w:r>
      <w:proofErr w:type="spellStart"/>
      <w:r>
        <w:rPr>
          <w:rFonts w:ascii="Arial" w:hAnsi="Arial"/>
        </w:rPr>
        <w:t>Offtaker</w:t>
      </w:r>
      <w:proofErr w:type="spellEnd"/>
      <w:r>
        <w:rPr>
          <w:rFonts w:ascii="Arial" w:hAnsi="Arial"/>
        </w:rPr>
        <w:t>, as envisaged under the PPA and described in this TOR document;</w:t>
      </w:r>
    </w:p>
    <w:p w14:paraId="32003C34" w14:textId="77777777" w:rsidR="00CD5509" w:rsidRDefault="00CD5509" w:rsidP="00CD5509">
      <w:pPr>
        <w:ind w:left="720"/>
        <w:jc w:val="both"/>
        <w:rPr>
          <w:rFonts w:ascii="Arial" w:hAnsi="Arial"/>
        </w:rPr>
      </w:pPr>
      <w:r>
        <w:rPr>
          <w:rFonts w:ascii="Arial" w:hAnsi="Arial"/>
        </w:rPr>
        <w:t>“</w:t>
      </w:r>
      <w:r>
        <w:rPr>
          <w:rFonts w:ascii="Arial" w:hAnsi="Arial"/>
          <w:b/>
        </w:rPr>
        <w:t>Independent Engineer Agreement</w:t>
      </w:r>
      <w:r>
        <w:rPr>
          <w:rFonts w:ascii="Arial" w:hAnsi="Arial"/>
        </w:rPr>
        <w:t xml:space="preserve">” is the agreement for provision of independent engineer services in relation to the construction phase of the Project, to be entered into between the Independent Engineer, the Project Company and the </w:t>
      </w:r>
      <w:proofErr w:type="spellStart"/>
      <w:r>
        <w:rPr>
          <w:rFonts w:ascii="Arial" w:hAnsi="Arial"/>
        </w:rPr>
        <w:t>Offtaker</w:t>
      </w:r>
      <w:proofErr w:type="spellEnd"/>
      <w:r>
        <w:rPr>
          <w:rFonts w:ascii="Arial" w:hAnsi="Arial"/>
        </w:rPr>
        <w:t>;</w:t>
      </w:r>
    </w:p>
    <w:p w14:paraId="4E1274A0" w14:textId="77777777" w:rsidR="00CD5509" w:rsidRDefault="00CD5509" w:rsidP="00CD5509">
      <w:pPr>
        <w:ind w:left="720"/>
        <w:jc w:val="both"/>
        <w:rPr>
          <w:rFonts w:ascii="Arial" w:hAnsi="Arial"/>
        </w:rPr>
      </w:pPr>
      <w:r>
        <w:rPr>
          <w:rFonts w:ascii="Arial" w:hAnsi="Arial"/>
        </w:rPr>
        <w:t>“</w:t>
      </w:r>
      <w:proofErr w:type="spellStart"/>
      <w:r>
        <w:rPr>
          <w:rFonts w:ascii="Arial" w:hAnsi="Arial"/>
          <w:b/>
        </w:rPr>
        <w:t>Offtaker</w:t>
      </w:r>
      <w:proofErr w:type="spellEnd"/>
      <w:r>
        <w:rPr>
          <w:rFonts w:ascii="Arial" w:hAnsi="Arial"/>
        </w:rPr>
        <w:t>” has the same meaning as DABS;</w:t>
      </w:r>
    </w:p>
    <w:p w14:paraId="351100E2" w14:textId="77777777" w:rsidR="00CD5509" w:rsidRDefault="00CD5509" w:rsidP="00CD5509">
      <w:pPr>
        <w:ind w:left="720"/>
        <w:jc w:val="both"/>
        <w:rPr>
          <w:rFonts w:ascii="Arial" w:hAnsi="Arial"/>
        </w:rPr>
      </w:pPr>
      <w:r>
        <w:rPr>
          <w:rFonts w:ascii="Arial" w:hAnsi="Arial"/>
        </w:rPr>
        <w:t>“</w:t>
      </w:r>
      <w:r>
        <w:rPr>
          <w:rFonts w:ascii="Arial" w:hAnsi="Arial"/>
          <w:b/>
        </w:rPr>
        <w:t>Plant</w:t>
      </w:r>
      <w:r>
        <w:rPr>
          <w:rFonts w:ascii="Arial" w:hAnsi="Arial"/>
        </w:rPr>
        <w:t>” means the electricity generating facilities at the Project Site comprised of the Plant Units and all associated facilities, systems and ancillary equipment, including all facilities, systems and ancillary equipment subsequently acquired by Project Company, for installation, construction or erection on the Project Site.</w:t>
      </w:r>
    </w:p>
    <w:p w14:paraId="685BA103" w14:textId="77777777" w:rsidR="00CD5509" w:rsidRDefault="00CD5509" w:rsidP="00CD5509">
      <w:pPr>
        <w:ind w:left="720"/>
        <w:jc w:val="both"/>
        <w:rPr>
          <w:rFonts w:ascii="Arial" w:hAnsi="Arial"/>
        </w:rPr>
      </w:pPr>
      <w:r>
        <w:rPr>
          <w:rFonts w:ascii="Arial" w:hAnsi="Arial"/>
        </w:rPr>
        <w:t>“</w:t>
      </w:r>
      <w:r>
        <w:rPr>
          <w:rFonts w:ascii="Arial" w:hAnsi="Arial"/>
          <w:b/>
        </w:rPr>
        <w:t>Plant Unit</w:t>
      </w:r>
      <w:r>
        <w:rPr>
          <w:rFonts w:ascii="Arial" w:hAnsi="Arial"/>
        </w:rPr>
        <w:t>” means each one of the six separate electricity generating units forming part of the Plant;</w:t>
      </w:r>
    </w:p>
    <w:p w14:paraId="1E3CD1CC" w14:textId="77777777" w:rsidR="00CD5509" w:rsidRDefault="00CD5509" w:rsidP="00CD5509">
      <w:pPr>
        <w:ind w:left="720"/>
        <w:jc w:val="both"/>
        <w:rPr>
          <w:rFonts w:ascii="Arial" w:hAnsi="Arial"/>
        </w:rPr>
      </w:pPr>
      <w:r>
        <w:rPr>
          <w:rFonts w:ascii="Arial" w:hAnsi="Arial"/>
        </w:rPr>
        <w:t>“</w:t>
      </w:r>
      <w:r>
        <w:rPr>
          <w:rFonts w:ascii="Arial" w:hAnsi="Arial"/>
          <w:b/>
        </w:rPr>
        <w:t>PPA</w:t>
      </w:r>
      <w:r>
        <w:rPr>
          <w:rFonts w:ascii="Arial" w:hAnsi="Arial"/>
        </w:rPr>
        <w:t xml:space="preserve">” means the Power Purchase Agreement entered into between the Project Company and the </w:t>
      </w:r>
      <w:proofErr w:type="spellStart"/>
      <w:r>
        <w:rPr>
          <w:rFonts w:ascii="Arial" w:hAnsi="Arial"/>
        </w:rPr>
        <w:t>Offtaker</w:t>
      </w:r>
      <w:proofErr w:type="spellEnd"/>
      <w:r>
        <w:rPr>
          <w:rFonts w:ascii="Arial" w:hAnsi="Arial"/>
        </w:rPr>
        <w:t xml:space="preserve"> in relation to the Project;</w:t>
      </w:r>
    </w:p>
    <w:p w14:paraId="1E49538E" w14:textId="77777777" w:rsidR="00CD5509" w:rsidRDefault="00CD5509" w:rsidP="00CD5509">
      <w:pPr>
        <w:ind w:left="720"/>
        <w:jc w:val="both"/>
        <w:rPr>
          <w:rFonts w:ascii="Arial" w:hAnsi="Arial"/>
        </w:rPr>
      </w:pPr>
      <w:r>
        <w:rPr>
          <w:rFonts w:ascii="Arial" w:hAnsi="Arial"/>
        </w:rPr>
        <w:t>“</w:t>
      </w:r>
      <w:r>
        <w:rPr>
          <w:rFonts w:ascii="Arial" w:hAnsi="Arial"/>
          <w:b/>
        </w:rPr>
        <w:t>Project</w:t>
      </w:r>
      <w:r>
        <w:rPr>
          <w:rFonts w:ascii="Arial" w:hAnsi="Arial"/>
        </w:rPr>
        <w:t>” has the meaning given in section 1.0 – Background of this TOR;</w:t>
      </w:r>
    </w:p>
    <w:p w14:paraId="7E173D42" w14:textId="77777777" w:rsidR="00CD5509" w:rsidRDefault="00CD5509" w:rsidP="00CD5509">
      <w:pPr>
        <w:ind w:left="720"/>
        <w:jc w:val="both"/>
        <w:rPr>
          <w:rFonts w:ascii="Arial" w:hAnsi="Arial"/>
        </w:rPr>
      </w:pPr>
      <w:r>
        <w:rPr>
          <w:rFonts w:ascii="Arial" w:hAnsi="Arial"/>
        </w:rPr>
        <w:t>“</w:t>
      </w:r>
      <w:r>
        <w:rPr>
          <w:rFonts w:ascii="Arial" w:hAnsi="Arial"/>
          <w:b/>
        </w:rPr>
        <w:t>Project Company</w:t>
      </w:r>
      <w:r>
        <w:rPr>
          <w:rFonts w:ascii="Arial" w:hAnsi="Arial"/>
        </w:rPr>
        <w:t>” has the same meaning as APPC;</w:t>
      </w:r>
    </w:p>
    <w:p w14:paraId="5C96028A" w14:textId="77777777" w:rsidR="00CD5509" w:rsidRDefault="00CD5509" w:rsidP="00CD5509">
      <w:pPr>
        <w:ind w:left="720"/>
        <w:jc w:val="both"/>
        <w:rPr>
          <w:rFonts w:ascii="Arial" w:hAnsi="Arial"/>
        </w:rPr>
      </w:pPr>
      <w:r>
        <w:rPr>
          <w:rFonts w:ascii="Arial" w:hAnsi="Arial"/>
        </w:rPr>
        <w:t>“</w:t>
      </w:r>
      <w:r>
        <w:rPr>
          <w:rFonts w:ascii="Arial" w:hAnsi="Arial"/>
          <w:b/>
        </w:rPr>
        <w:t>TOR</w:t>
      </w:r>
      <w:r>
        <w:rPr>
          <w:rFonts w:ascii="Arial" w:hAnsi="Arial"/>
        </w:rPr>
        <w:t xml:space="preserve">” means this terms of reference document related to the selection of the Independent Engineer for the construction phase of the Project. </w:t>
      </w:r>
    </w:p>
    <w:p w14:paraId="01EC41D3" w14:textId="77777777" w:rsidR="00CD5509" w:rsidRDefault="00CD5509" w:rsidP="00CD5509">
      <w:pPr>
        <w:ind w:left="720"/>
        <w:rPr>
          <w:rFonts w:ascii="Arial" w:hAnsi="Arial"/>
        </w:rPr>
      </w:pPr>
    </w:p>
    <w:p w14:paraId="5FA5FF63" w14:textId="77777777" w:rsidR="00CD5509" w:rsidRDefault="00CD5509" w:rsidP="00CD5509">
      <w:pPr>
        <w:pStyle w:val="Heading1"/>
        <w:numPr>
          <w:ilvl w:val="0"/>
          <w:numId w:val="34"/>
        </w:numPr>
        <w:spacing w:before="240" w:after="240" w:line="240" w:lineRule="auto"/>
        <w:ind w:left="720"/>
        <w:jc w:val="both"/>
        <w:rPr>
          <w:rFonts w:ascii="Arial" w:hAnsi="Arial" w:cs="Arial"/>
          <w:color w:val="auto"/>
          <w:sz w:val="22"/>
          <w:szCs w:val="22"/>
        </w:rPr>
      </w:pPr>
      <w:bookmarkStart w:id="6" w:name="_Toc5788137"/>
      <w:r>
        <w:rPr>
          <w:rFonts w:ascii="Arial" w:hAnsi="Arial" w:cs="Arial"/>
          <w:color w:val="auto"/>
          <w:sz w:val="22"/>
          <w:szCs w:val="22"/>
        </w:rPr>
        <w:lastRenderedPageBreak/>
        <w:t>Basic Requirements</w:t>
      </w:r>
      <w:bookmarkEnd w:id="6"/>
      <w:r>
        <w:rPr>
          <w:rFonts w:ascii="Arial" w:hAnsi="Arial" w:cs="Arial"/>
          <w:color w:val="auto"/>
          <w:sz w:val="22"/>
          <w:szCs w:val="22"/>
        </w:rPr>
        <w:t xml:space="preserve"> </w:t>
      </w:r>
    </w:p>
    <w:p w14:paraId="7E435A98" w14:textId="77777777" w:rsidR="00CD5509" w:rsidRDefault="00CD5509" w:rsidP="00CD5509">
      <w:pPr>
        <w:spacing w:after="240"/>
        <w:ind w:left="720"/>
        <w:jc w:val="both"/>
        <w:rPr>
          <w:rFonts w:ascii="Arial" w:hAnsi="Arial" w:cs="Arial"/>
          <w:iCs/>
        </w:rPr>
      </w:pPr>
      <w:r>
        <w:rPr>
          <w:rFonts w:ascii="Arial" w:hAnsi="Arial"/>
          <w:iCs/>
        </w:rPr>
        <w:t xml:space="preserve">The Project Company and DABS intend to select and appoint a reputable international technical consulting firm to serve as the Independent Engineer for DABS and the Project Company as envisaged under the PPA. </w:t>
      </w:r>
    </w:p>
    <w:p w14:paraId="78F7840F" w14:textId="77777777" w:rsidR="00CD5509" w:rsidRDefault="00CD5509" w:rsidP="00CD5509">
      <w:pPr>
        <w:spacing w:after="240"/>
        <w:ind w:left="720"/>
        <w:jc w:val="both"/>
        <w:rPr>
          <w:rFonts w:ascii="Arial" w:hAnsi="Arial"/>
          <w:iCs/>
        </w:rPr>
      </w:pPr>
      <w:r>
        <w:rPr>
          <w:rFonts w:ascii="Arial" w:hAnsi="Arial"/>
          <w:iCs/>
        </w:rPr>
        <w:t>The Independent Engineer will report jointly to the Project Company and DABS, and costs of the Independent Engineer will be borne equally by the Project Company and DABS as defined in the PPA.</w:t>
      </w:r>
    </w:p>
    <w:p w14:paraId="4A92239E" w14:textId="77777777" w:rsidR="00CD5509" w:rsidRDefault="00CD5509" w:rsidP="00CD5509">
      <w:pPr>
        <w:spacing w:after="240"/>
        <w:ind w:left="720"/>
        <w:jc w:val="both"/>
        <w:rPr>
          <w:rFonts w:ascii="Arial" w:hAnsi="Arial"/>
          <w:iCs/>
        </w:rPr>
      </w:pPr>
      <w:r>
        <w:rPr>
          <w:rFonts w:ascii="Arial" w:hAnsi="Arial"/>
          <w:iCs/>
        </w:rPr>
        <w:t xml:space="preserve">The selected Independent Engineer will be required to confirm that it does not have any conflict of interest with the Project Company and DABS, the </w:t>
      </w:r>
      <w:proofErr w:type="spellStart"/>
      <w:r>
        <w:rPr>
          <w:rFonts w:ascii="Arial" w:hAnsi="Arial"/>
          <w:iCs/>
        </w:rPr>
        <w:t>GoIRA</w:t>
      </w:r>
      <w:proofErr w:type="spellEnd"/>
      <w:r>
        <w:rPr>
          <w:rFonts w:ascii="Arial" w:hAnsi="Arial"/>
          <w:iCs/>
        </w:rPr>
        <w:t xml:space="preserve"> or other consultants involved in the Project. </w:t>
      </w:r>
    </w:p>
    <w:p w14:paraId="636D3B17" w14:textId="77777777" w:rsidR="00CD5509" w:rsidRDefault="00CD5509" w:rsidP="00CD5509">
      <w:pPr>
        <w:spacing w:after="240"/>
        <w:ind w:left="720"/>
        <w:jc w:val="both"/>
        <w:rPr>
          <w:rFonts w:ascii="Arial" w:hAnsi="Arial"/>
          <w:iCs/>
        </w:rPr>
      </w:pPr>
      <w:r>
        <w:rPr>
          <w:rFonts w:ascii="Arial" w:hAnsi="Arial"/>
          <w:iCs/>
        </w:rPr>
        <w:t xml:space="preserve">Neither the Project Company nor the </w:t>
      </w:r>
      <w:proofErr w:type="spellStart"/>
      <w:r>
        <w:rPr>
          <w:rFonts w:ascii="Arial" w:hAnsi="Arial"/>
          <w:iCs/>
        </w:rPr>
        <w:t>Offtaker</w:t>
      </w:r>
      <w:proofErr w:type="spellEnd"/>
      <w:r>
        <w:rPr>
          <w:rFonts w:ascii="Arial" w:hAnsi="Arial"/>
          <w:iCs/>
        </w:rPr>
        <w:t xml:space="preserve"> are obliged to accept any offer provided in response to this TOR, nor shall they be bound to accept the lowest priced offer.</w:t>
      </w:r>
    </w:p>
    <w:p w14:paraId="7080C143" w14:textId="77777777" w:rsidR="00CD5509" w:rsidRDefault="00CD5509" w:rsidP="00CD5509">
      <w:pPr>
        <w:spacing w:after="240"/>
        <w:ind w:left="720"/>
        <w:jc w:val="both"/>
        <w:rPr>
          <w:rFonts w:ascii="Arial" w:hAnsi="Arial"/>
          <w:iCs/>
        </w:rPr>
      </w:pPr>
    </w:p>
    <w:p w14:paraId="1683145D" w14:textId="77777777" w:rsidR="00CD5509" w:rsidRDefault="00CD5509" w:rsidP="00CD5509">
      <w:pPr>
        <w:pStyle w:val="Heading1"/>
        <w:numPr>
          <w:ilvl w:val="0"/>
          <w:numId w:val="34"/>
        </w:numPr>
        <w:spacing w:before="240" w:after="240"/>
        <w:ind w:left="720"/>
        <w:jc w:val="both"/>
        <w:rPr>
          <w:rFonts w:ascii="Arial" w:hAnsi="Arial" w:cs="Arial"/>
          <w:iCs/>
          <w:color w:val="auto"/>
          <w:sz w:val="22"/>
          <w:szCs w:val="22"/>
        </w:rPr>
      </w:pPr>
      <w:bookmarkStart w:id="7" w:name="_Toc535779411"/>
      <w:bookmarkStart w:id="8" w:name="_Toc535781706"/>
      <w:bookmarkStart w:id="9" w:name="_Toc5788138"/>
      <w:bookmarkStart w:id="10" w:name="_Toc342990111"/>
      <w:bookmarkEnd w:id="7"/>
      <w:bookmarkEnd w:id="8"/>
      <w:r>
        <w:rPr>
          <w:rFonts w:ascii="Arial" w:hAnsi="Arial" w:cs="Arial"/>
          <w:iCs/>
          <w:color w:val="auto"/>
          <w:sz w:val="22"/>
          <w:szCs w:val="22"/>
        </w:rPr>
        <w:t>Scope of Services</w:t>
      </w:r>
      <w:bookmarkEnd w:id="9"/>
    </w:p>
    <w:p w14:paraId="3DB0F25A" w14:textId="77777777" w:rsidR="00CD5509" w:rsidRDefault="00CD5509" w:rsidP="00CD5509">
      <w:pPr>
        <w:spacing w:after="0"/>
        <w:ind w:left="720"/>
        <w:jc w:val="both"/>
        <w:rPr>
          <w:rFonts w:ascii="Arial" w:eastAsia="Times New Roman" w:hAnsi="Arial" w:cs="Arial"/>
        </w:rPr>
      </w:pPr>
      <w:r>
        <w:rPr>
          <w:rFonts w:ascii="Arial" w:eastAsia="Times New Roman" w:hAnsi="Arial"/>
        </w:rPr>
        <w:t xml:space="preserve">The services to be provided by the Independent Engineer shall comprise all the functions which are conferred on the Independent Engineer under or pursuant to the PPA including the specific functions referred to below. </w:t>
      </w:r>
    </w:p>
    <w:p w14:paraId="484E33DF" w14:textId="77777777" w:rsidR="00CD5509" w:rsidRDefault="00CD5509" w:rsidP="00CD5509">
      <w:pPr>
        <w:spacing w:after="0"/>
        <w:ind w:left="720"/>
        <w:jc w:val="both"/>
        <w:rPr>
          <w:rFonts w:ascii="Arial" w:eastAsia="Times New Roman" w:hAnsi="Arial"/>
        </w:rPr>
      </w:pPr>
    </w:p>
    <w:p w14:paraId="7B28CF4B" w14:textId="77777777" w:rsidR="00CD5509" w:rsidRDefault="00CD5509" w:rsidP="00CD5509">
      <w:pPr>
        <w:numPr>
          <w:ilvl w:val="0"/>
          <w:numId w:val="35"/>
        </w:numPr>
        <w:spacing w:after="0"/>
        <w:ind w:left="1170" w:hanging="450"/>
        <w:jc w:val="both"/>
        <w:rPr>
          <w:rFonts w:ascii="Arial" w:eastAsia="Times New Roman" w:hAnsi="Arial"/>
        </w:rPr>
      </w:pPr>
      <w:r>
        <w:rPr>
          <w:rFonts w:ascii="Arial" w:eastAsia="Times New Roman" w:hAnsi="Arial"/>
          <w:u w:val="single"/>
        </w:rPr>
        <w:t>Gas Demand Model</w:t>
      </w:r>
      <w:r>
        <w:rPr>
          <w:rFonts w:ascii="Arial" w:eastAsia="Times New Roman" w:hAnsi="Arial"/>
        </w:rPr>
        <w:t xml:space="preserve">. </w:t>
      </w:r>
    </w:p>
    <w:p w14:paraId="67A575EB" w14:textId="77777777" w:rsidR="00CD5509" w:rsidRDefault="00CD5509" w:rsidP="00CD5509">
      <w:pPr>
        <w:spacing w:after="0"/>
        <w:ind w:left="720"/>
        <w:jc w:val="both"/>
        <w:rPr>
          <w:rFonts w:ascii="Arial" w:eastAsia="Times New Roman" w:hAnsi="Arial"/>
          <w:u w:val="single"/>
        </w:rPr>
      </w:pPr>
    </w:p>
    <w:p w14:paraId="51A99402" w14:textId="77777777" w:rsidR="00CD5509" w:rsidRDefault="00CD5509" w:rsidP="00CD5509">
      <w:pPr>
        <w:spacing w:after="0"/>
        <w:ind w:left="1170"/>
        <w:jc w:val="both"/>
        <w:rPr>
          <w:rFonts w:ascii="Arial" w:eastAsia="Times New Roman" w:hAnsi="Arial"/>
        </w:rPr>
      </w:pPr>
      <w:r>
        <w:rPr>
          <w:rFonts w:ascii="Arial" w:eastAsia="Times New Roman" w:hAnsi="Arial"/>
        </w:rPr>
        <w:t xml:space="preserve">The PPA foresees that the Project Company shall submit to the </w:t>
      </w:r>
      <w:proofErr w:type="spellStart"/>
      <w:r>
        <w:rPr>
          <w:rFonts w:ascii="Arial" w:eastAsia="Times New Roman" w:hAnsi="Arial"/>
        </w:rPr>
        <w:t>Offtaker</w:t>
      </w:r>
      <w:proofErr w:type="spellEnd"/>
      <w:r>
        <w:rPr>
          <w:rFonts w:ascii="Arial" w:eastAsia="Times New Roman" w:hAnsi="Arial"/>
        </w:rPr>
        <w:t xml:space="preserve"> and Independent Engineer a proposed Gas Demand Model as soon as reasonably practicable following the Effective Date and in any case no later than the date falling sixty (60) days before the expected date of the test for the first Plant Unit.</w:t>
      </w:r>
    </w:p>
    <w:p w14:paraId="719FF02F" w14:textId="77777777" w:rsidR="00CD5509" w:rsidRDefault="00CD5509" w:rsidP="00CD5509">
      <w:pPr>
        <w:spacing w:after="0"/>
        <w:ind w:left="1170"/>
        <w:jc w:val="both"/>
        <w:rPr>
          <w:rFonts w:ascii="Arial" w:eastAsia="Times New Roman" w:hAnsi="Arial"/>
          <w:u w:val="single"/>
        </w:rPr>
      </w:pPr>
    </w:p>
    <w:p w14:paraId="1FCE24A7" w14:textId="77777777" w:rsidR="00CD5509" w:rsidRDefault="00CD5509" w:rsidP="00CD5509">
      <w:pPr>
        <w:spacing w:after="0"/>
        <w:ind w:left="1170"/>
        <w:jc w:val="both"/>
        <w:rPr>
          <w:rFonts w:ascii="Arial" w:eastAsia="Times New Roman" w:hAnsi="Arial"/>
        </w:rPr>
      </w:pPr>
      <w:r>
        <w:rPr>
          <w:rFonts w:ascii="Arial" w:eastAsia="Times New Roman" w:hAnsi="Arial"/>
        </w:rPr>
        <w:t>The Independent Engineer shall review the proposed Gas Demand Model submitted by the Project Company and comment or confirm that it is generally in accordance with the principles set out in the tariff schedule of the PPA and is capable of calculating the Projected Gas Demand, the Independent Engineer shall promptly certify the Gas Demand Model for use under the PPA.</w:t>
      </w:r>
    </w:p>
    <w:p w14:paraId="4260CB99" w14:textId="77777777" w:rsidR="00CD5509" w:rsidRDefault="00CD5509" w:rsidP="00CD5509">
      <w:pPr>
        <w:spacing w:after="0"/>
        <w:jc w:val="both"/>
        <w:rPr>
          <w:rFonts w:ascii="Arial" w:eastAsia="Times New Roman" w:hAnsi="Arial"/>
        </w:rPr>
      </w:pPr>
    </w:p>
    <w:p w14:paraId="166F7783" w14:textId="77777777" w:rsidR="00CD5509" w:rsidRDefault="00CD5509" w:rsidP="00CD5509">
      <w:pPr>
        <w:numPr>
          <w:ilvl w:val="0"/>
          <w:numId w:val="35"/>
        </w:numPr>
        <w:spacing w:after="0"/>
        <w:ind w:left="1170" w:hanging="450"/>
        <w:jc w:val="both"/>
        <w:rPr>
          <w:rFonts w:ascii="Arial" w:eastAsia="Times New Roman" w:hAnsi="Arial"/>
        </w:rPr>
      </w:pPr>
      <w:r>
        <w:rPr>
          <w:rFonts w:ascii="Arial" w:eastAsia="Times New Roman" w:hAnsi="Arial"/>
          <w:u w:val="single"/>
        </w:rPr>
        <w:t xml:space="preserve">Plant Commercial Operations Testing </w:t>
      </w:r>
      <w:r>
        <w:rPr>
          <w:rFonts w:ascii="Arial" w:eastAsia="Times New Roman" w:hAnsi="Arial"/>
        </w:rPr>
        <w:t xml:space="preserve"> </w:t>
      </w:r>
    </w:p>
    <w:p w14:paraId="4D48A8A4" w14:textId="77777777" w:rsidR="00CD5509" w:rsidRDefault="00CD5509" w:rsidP="00CD5509">
      <w:pPr>
        <w:spacing w:after="0"/>
        <w:jc w:val="both"/>
        <w:rPr>
          <w:rFonts w:ascii="Arial" w:eastAsia="Times New Roman" w:hAnsi="Arial"/>
        </w:rPr>
      </w:pPr>
    </w:p>
    <w:p w14:paraId="777A836D" w14:textId="77777777" w:rsidR="00CD5509" w:rsidRDefault="00CD5509" w:rsidP="00CD5509">
      <w:pPr>
        <w:spacing w:after="0"/>
        <w:ind w:left="1170"/>
        <w:jc w:val="both"/>
        <w:rPr>
          <w:rFonts w:ascii="Arial" w:eastAsia="Times New Roman" w:hAnsi="Arial"/>
        </w:rPr>
      </w:pPr>
      <w:r>
        <w:rPr>
          <w:rFonts w:ascii="Arial" w:eastAsia="Times New Roman" w:hAnsi="Arial"/>
        </w:rPr>
        <w:t xml:space="preserve">The plant commercial operations testing regime is defined in Schedule 4 of the PPA – attached for information as Annex 1 of this TOR.  </w:t>
      </w:r>
    </w:p>
    <w:p w14:paraId="3210E35C" w14:textId="77777777" w:rsidR="00CD5509" w:rsidRDefault="00CD5509" w:rsidP="00CD5509">
      <w:pPr>
        <w:spacing w:after="0"/>
        <w:ind w:left="1170"/>
        <w:jc w:val="both"/>
        <w:rPr>
          <w:rFonts w:ascii="Arial" w:eastAsia="Times New Roman" w:hAnsi="Arial"/>
        </w:rPr>
      </w:pPr>
    </w:p>
    <w:p w14:paraId="4CEF1684" w14:textId="77777777" w:rsidR="00CD5509" w:rsidRDefault="00CD5509" w:rsidP="00CD5509">
      <w:pPr>
        <w:spacing w:after="0"/>
        <w:ind w:left="1170"/>
        <w:jc w:val="both"/>
        <w:rPr>
          <w:rFonts w:ascii="Arial" w:eastAsia="Times New Roman" w:hAnsi="Arial"/>
        </w:rPr>
      </w:pPr>
      <w:r>
        <w:rPr>
          <w:rFonts w:ascii="Arial" w:eastAsia="Times New Roman" w:hAnsi="Arial"/>
        </w:rPr>
        <w:t xml:space="preserve">It should be noted that details of this schedule are subject to change, and it is expected that an amended version will be agreed by the Project Company and the </w:t>
      </w:r>
      <w:proofErr w:type="spellStart"/>
      <w:r>
        <w:rPr>
          <w:rFonts w:ascii="Arial" w:eastAsia="Times New Roman" w:hAnsi="Arial"/>
        </w:rPr>
        <w:t>Offtaker</w:t>
      </w:r>
      <w:proofErr w:type="spellEnd"/>
      <w:r>
        <w:rPr>
          <w:rFonts w:ascii="Arial" w:eastAsia="Times New Roman" w:hAnsi="Arial"/>
        </w:rPr>
        <w:t xml:space="preserve"> prior to Financial Close.  It is not anticipated that such amendment would </w:t>
      </w:r>
      <w:r>
        <w:rPr>
          <w:rFonts w:ascii="Arial" w:eastAsia="Times New Roman" w:hAnsi="Arial"/>
        </w:rPr>
        <w:lastRenderedPageBreak/>
        <w:t xml:space="preserve">impose more demanding requirements on the Independent Engineer, and the candidate is therefore requested to base its offer on the role of the Independent Engineer as described in the schedule attached as Annex 1. The selected Independent Engineer will be required to confirm its acceptance of the revised PPA Schedule 4 prior to signature of the contract. </w:t>
      </w:r>
    </w:p>
    <w:p w14:paraId="0B3F947B" w14:textId="77777777" w:rsidR="00CD5509" w:rsidRDefault="00CD5509" w:rsidP="00CD5509">
      <w:pPr>
        <w:spacing w:after="0"/>
        <w:ind w:left="1170"/>
        <w:jc w:val="both"/>
        <w:rPr>
          <w:rFonts w:ascii="Arial" w:eastAsia="Times New Roman" w:hAnsi="Arial"/>
        </w:rPr>
      </w:pPr>
    </w:p>
    <w:p w14:paraId="212FF3F3" w14:textId="77777777" w:rsidR="00CD5509" w:rsidRDefault="00CD5509" w:rsidP="00CD5509">
      <w:pPr>
        <w:spacing w:after="0"/>
        <w:jc w:val="both"/>
        <w:rPr>
          <w:rFonts w:ascii="Arial" w:eastAsia="Times New Roman" w:hAnsi="Arial"/>
        </w:rPr>
      </w:pPr>
    </w:p>
    <w:p w14:paraId="47AE6CC5" w14:textId="77777777" w:rsidR="00CD5509" w:rsidRDefault="00CD5509" w:rsidP="00CD5509">
      <w:pPr>
        <w:pStyle w:val="Heading1"/>
        <w:numPr>
          <w:ilvl w:val="0"/>
          <w:numId w:val="34"/>
        </w:numPr>
        <w:spacing w:before="240" w:after="240"/>
        <w:ind w:left="720"/>
        <w:jc w:val="both"/>
        <w:rPr>
          <w:rFonts w:ascii="Arial" w:eastAsia="Times New Roman" w:hAnsi="Arial" w:cs="Arial"/>
          <w:color w:val="auto"/>
          <w:sz w:val="22"/>
          <w:szCs w:val="22"/>
        </w:rPr>
      </w:pPr>
      <w:bookmarkStart w:id="11" w:name="_Toc535779413"/>
      <w:bookmarkStart w:id="12" w:name="_Toc535781708"/>
      <w:bookmarkStart w:id="13" w:name="_Toc535779415"/>
      <w:bookmarkStart w:id="14" w:name="_Toc535781710"/>
      <w:bookmarkStart w:id="15" w:name="_Toc535779416"/>
      <w:bookmarkStart w:id="16" w:name="_Toc535781711"/>
      <w:bookmarkStart w:id="17" w:name="_Toc535779417"/>
      <w:bookmarkStart w:id="18" w:name="_Toc535781712"/>
      <w:bookmarkStart w:id="19" w:name="_Toc535779419"/>
      <w:bookmarkStart w:id="20" w:name="_Toc535781714"/>
      <w:bookmarkStart w:id="21" w:name="_Toc535779420"/>
      <w:bookmarkStart w:id="22" w:name="_Toc535781715"/>
      <w:bookmarkStart w:id="23" w:name="_Toc535779421"/>
      <w:bookmarkStart w:id="24" w:name="_Toc535781716"/>
      <w:bookmarkStart w:id="25" w:name="_Toc535779423"/>
      <w:bookmarkStart w:id="26" w:name="_Toc535781718"/>
      <w:bookmarkStart w:id="27" w:name="_Toc535779424"/>
      <w:bookmarkStart w:id="28" w:name="_Toc535781719"/>
      <w:bookmarkStart w:id="29" w:name="_Toc535779425"/>
      <w:bookmarkStart w:id="30" w:name="_Toc535781720"/>
      <w:bookmarkStart w:id="31" w:name="_Toc535779427"/>
      <w:bookmarkStart w:id="32" w:name="_Toc535781722"/>
      <w:bookmarkStart w:id="33" w:name="_Toc535779428"/>
      <w:bookmarkStart w:id="34" w:name="_Toc535781723"/>
      <w:bookmarkStart w:id="35" w:name="_Toc535779429"/>
      <w:bookmarkStart w:id="36" w:name="_Toc535781724"/>
      <w:bookmarkStart w:id="37" w:name="_Toc535779430"/>
      <w:bookmarkStart w:id="38" w:name="_Toc535781725"/>
      <w:bookmarkStart w:id="39" w:name="_Toc535779431"/>
      <w:bookmarkStart w:id="40" w:name="_Toc535781726"/>
      <w:bookmarkStart w:id="41" w:name="_Toc535779432"/>
      <w:bookmarkStart w:id="42" w:name="_Toc535781727"/>
      <w:bookmarkStart w:id="43" w:name="_Toc535779433"/>
      <w:bookmarkStart w:id="44" w:name="_Toc535781728"/>
      <w:bookmarkStart w:id="45" w:name="_Toc535779434"/>
      <w:bookmarkStart w:id="46" w:name="_Toc535781729"/>
      <w:bookmarkStart w:id="47" w:name="_Toc535779435"/>
      <w:bookmarkStart w:id="48" w:name="_Toc535781730"/>
      <w:bookmarkStart w:id="49" w:name="_Toc535779436"/>
      <w:bookmarkStart w:id="50" w:name="_Toc535781731"/>
      <w:bookmarkStart w:id="51" w:name="_Toc535779438"/>
      <w:bookmarkStart w:id="52" w:name="_Toc535781733"/>
      <w:bookmarkStart w:id="53" w:name="_Toc535779440"/>
      <w:bookmarkStart w:id="54" w:name="_Toc535781735"/>
      <w:bookmarkStart w:id="55" w:name="_Toc535779441"/>
      <w:bookmarkStart w:id="56" w:name="_Toc535781736"/>
      <w:bookmarkStart w:id="57" w:name="_Toc535779442"/>
      <w:bookmarkStart w:id="58" w:name="_Toc535781737"/>
      <w:bookmarkStart w:id="59" w:name="_Toc535779443"/>
      <w:bookmarkStart w:id="60" w:name="_Toc535781738"/>
      <w:bookmarkStart w:id="61" w:name="_Toc535779444"/>
      <w:bookmarkStart w:id="62" w:name="_Toc535781739"/>
      <w:bookmarkStart w:id="63" w:name="_Toc535779445"/>
      <w:bookmarkStart w:id="64" w:name="_Toc535781740"/>
      <w:bookmarkStart w:id="65" w:name="_Toc535779446"/>
      <w:bookmarkStart w:id="66" w:name="_Toc535781741"/>
      <w:bookmarkStart w:id="67" w:name="_Toc535779448"/>
      <w:bookmarkStart w:id="68" w:name="_Toc535781743"/>
      <w:bookmarkStart w:id="69" w:name="_Toc535779450"/>
      <w:bookmarkStart w:id="70" w:name="_Toc535781745"/>
      <w:bookmarkStart w:id="71" w:name="_Toc535779451"/>
      <w:bookmarkStart w:id="72" w:name="_Toc535781746"/>
      <w:bookmarkStart w:id="73" w:name="_Toc535779453"/>
      <w:bookmarkStart w:id="74" w:name="_Toc535781748"/>
      <w:bookmarkStart w:id="75" w:name="_Toc535779455"/>
      <w:bookmarkStart w:id="76" w:name="_Toc535781750"/>
      <w:bookmarkStart w:id="77" w:name="_Toc535779456"/>
      <w:bookmarkStart w:id="78" w:name="_Toc535781751"/>
      <w:bookmarkStart w:id="79" w:name="_Toc535779457"/>
      <w:bookmarkStart w:id="80" w:name="_Toc535781752"/>
      <w:bookmarkStart w:id="81" w:name="_Toc535779459"/>
      <w:bookmarkStart w:id="82" w:name="_Toc535781754"/>
      <w:bookmarkStart w:id="83" w:name="_Toc535779460"/>
      <w:bookmarkStart w:id="84" w:name="_Toc535781755"/>
      <w:bookmarkStart w:id="85" w:name="_Toc535779461"/>
      <w:bookmarkStart w:id="86" w:name="_Toc535781756"/>
      <w:bookmarkStart w:id="87" w:name="_Toc535779463"/>
      <w:bookmarkStart w:id="88" w:name="_Toc535781758"/>
      <w:bookmarkStart w:id="89" w:name="_Toc535779464"/>
      <w:bookmarkStart w:id="90" w:name="_Toc535781759"/>
      <w:bookmarkStart w:id="91" w:name="_Toc535779466"/>
      <w:bookmarkStart w:id="92" w:name="_Toc535781761"/>
      <w:bookmarkStart w:id="93" w:name="_Toc535779467"/>
      <w:bookmarkStart w:id="94" w:name="_Toc535781762"/>
      <w:bookmarkStart w:id="95" w:name="_Toc535779469"/>
      <w:bookmarkStart w:id="96" w:name="_Toc535781764"/>
      <w:bookmarkStart w:id="97" w:name="_Toc535779471"/>
      <w:bookmarkStart w:id="98" w:name="_Toc535781766"/>
      <w:bookmarkStart w:id="99" w:name="_Toc535779472"/>
      <w:bookmarkStart w:id="100" w:name="_Toc535781767"/>
      <w:bookmarkStart w:id="101" w:name="_Toc535779473"/>
      <w:bookmarkStart w:id="102" w:name="_Toc535781768"/>
      <w:bookmarkStart w:id="103" w:name="_Toc535779479"/>
      <w:bookmarkStart w:id="104" w:name="_Toc535781774"/>
      <w:bookmarkStart w:id="105" w:name="_Toc578813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Arial" w:hAnsi="Arial" w:cs="Arial"/>
          <w:color w:val="auto"/>
          <w:sz w:val="22"/>
          <w:szCs w:val="22"/>
        </w:rPr>
        <w:t>Obligations of the Independent Engineer</w:t>
      </w:r>
      <w:bookmarkEnd w:id="105"/>
    </w:p>
    <w:p w14:paraId="098FA3F3" w14:textId="77777777" w:rsidR="00CD5509" w:rsidRDefault="00CD5509" w:rsidP="00CD5509">
      <w:pPr>
        <w:pStyle w:val="NoSpacing"/>
        <w:spacing w:after="240" w:line="276" w:lineRule="auto"/>
        <w:ind w:left="720" w:hanging="720"/>
        <w:jc w:val="both"/>
        <w:rPr>
          <w:rFonts w:ascii="Arial" w:hAnsi="Arial"/>
          <w:iCs/>
        </w:rPr>
      </w:pPr>
      <w:r>
        <w:rPr>
          <w:rFonts w:ascii="Arial" w:hAnsi="Arial"/>
          <w:iCs/>
        </w:rPr>
        <w:t>5.1</w:t>
      </w:r>
      <w:r>
        <w:rPr>
          <w:rFonts w:ascii="Arial" w:hAnsi="Arial"/>
          <w:iCs/>
        </w:rPr>
        <w:tab/>
        <w:t xml:space="preserve">The Independent Engineer Agreement shall contain warranties to the </w:t>
      </w:r>
      <w:proofErr w:type="spellStart"/>
      <w:r>
        <w:rPr>
          <w:rFonts w:ascii="Arial" w:hAnsi="Arial"/>
          <w:iCs/>
        </w:rPr>
        <w:t>Offtaker</w:t>
      </w:r>
      <w:proofErr w:type="spellEnd"/>
      <w:r>
        <w:rPr>
          <w:rFonts w:ascii="Arial" w:hAnsi="Arial"/>
          <w:iCs/>
        </w:rPr>
        <w:t xml:space="preserve"> and the Project Company that it shall exercise all reasonable skill, care and diligence expected of a properly qualified professional engineer,  in relation to projects of a similar size, scope, nature and complexity to the Project.</w:t>
      </w:r>
    </w:p>
    <w:p w14:paraId="669167B5" w14:textId="77777777" w:rsidR="00CD5509" w:rsidRDefault="00CD5509" w:rsidP="00CD5509">
      <w:pPr>
        <w:pStyle w:val="NoSpacing"/>
        <w:spacing w:after="120" w:line="276" w:lineRule="auto"/>
        <w:ind w:left="720" w:hanging="720"/>
        <w:jc w:val="both"/>
        <w:rPr>
          <w:rFonts w:ascii="Arial" w:hAnsi="Arial"/>
          <w:i/>
          <w:iCs/>
        </w:rPr>
      </w:pPr>
      <w:r>
        <w:rPr>
          <w:rFonts w:ascii="Arial" w:hAnsi="Arial"/>
          <w:iCs/>
        </w:rPr>
        <w:t>5.2</w:t>
      </w:r>
      <w:r>
        <w:rPr>
          <w:rFonts w:ascii="Arial" w:hAnsi="Arial"/>
          <w:iCs/>
        </w:rPr>
        <w:tab/>
        <w:t>Where the services to be provided by the Independent Engineer require the exercise of powers of discretion or the performance of duties authorized or required by the terms of the PPA, the Independent Engineer shall:</w:t>
      </w:r>
    </w:p>
    <w:p w14:paraId="73448110" w14:textId="77777777" w:rsidR="00CD5509" w:rsidRDefault="00CD5509" w:rsidP="00CD5509">
      <w:pPr>
        <w:pStyle w:val="NoSpacing"/>
        <w:numPr>
          <w:ilvl w:val="0"/>
          <w:numId w:val="36"/>
        </w:numPr>
        <w:spacing w:after="120" w:line="276" w:lineRule="auto"/>
        <w:ind w:left="1170" w:hanging="450"/>
        <w:jc w:val="both"/>
        <w:rPr>
          <w:rFonts w:ascii="Arial" w:hAnsi="Arial"/>
          <w:iCs/>
        </w:rPr>
      </w:pPr>
      <w:r>
        <w:rPr>
          <w:rFonts w:ascii="Arial" w:hAnsi="Arial"/>
          <w:iCs/>
        </w:rPr>
        <w:t>act in accordance with the PPA and comply with the relevant requirements of the PPA; and</w:t>
      </w:r>
    </w:p>
    <w:p w14:paraId="26183BC0" w14:textId="77777777" w:rsidR="00CD5509" w:rsidRDefault="00CD5509" w:rsidP="00CD5509">
      <w:pPr>
        <w:pStyle w:val="NoSpacing"/>
        <w:numPr>
          <w:ilvl w:val="0"/>
          <w:numId w:val="36"/>
        </w:numPr>
        <w:spacing w:after="120" w:line="276" w:lineRule="auto"/>
        <w:ind w:left="1170" w:hanging="450"/>
        <w:jc w:val="both"/>
        <w:rPr>
          <w:rFonts w:ascii="Arial" w:hAnsi="Arial"/>
          <w:iCs/>
        </w:rPr>
      </w:pPr>
      <w:proofErr w:type="gramStart"/>
      <w:r>
        <w:rPr>
          <w:rFonts w:ascii="Arial" w:hAnsi="Arial"/>
          <w:iCs/>
        </w:rPr>
        <w:t>when</w:t>
      </w:r>
      <w:proofErr w:type="gramEnd"/>
      <w:r>
        <w:rPr>
          <w:rFonts w:ascii="Arial" w:hAnsi="Arial"/>
          <w:iCs/>
        </w:rPr>
        <w:t xml:space="preserve"> exercising its functions under the PPA act fairly, honestly, professionally and independently. </w:t>
      </w:r>
    </w:p>
    <w:p w14:paraId="0AB8EED3" w14:textId="77777777" w:rsidR="00CD5509" w:rsidRDefault="00CD5509" w:rsidP="00CD5509">
      <w:pPr>
        <w:pStyle w:val="NoSpacing"/>
        <w:spacing w:after="240" w:line="276" w:lineRule="auto"/>
        <w:ind w:left="720" w:hanging="720"/>
        <w:jc w:val="both"/>
        <w:rPr>
          <w:rFonts w:ascii="Arial" w:hAnsi="Arial"/>
          <w:iCs/>
        </w:rPr>
      </w:pPr>
      <w:r>
        <w:rPr>
          <w:rFonts w:ascii="Arial" w:hAnsi="Arial"/>
          <w:iCs/>
        </w:rPr>
        <w:t>5.3</w:t>
      </w:r>
      <w:r>
        <w:rPr>
          <w:rFonts w:ascii="Arial" w:hAnsi="Arial"/>
          <w:iCs/>
        </w:rPr>
        <w:tab/>
        <w:t xml:space="preserve">The Independent Engineer shall co-operate with, and provide all reasonable assistance to, any other consultants engaged by the </w:t>
      </w:r>
      <w:proofErr w:type="spellStart"/>
      <w:r>
        <w:rPr>
          <w:rFonts w:ascii="Arial" w:hAnsi="Arial"/>
          <w:iCs/>
        </w:rPr>
        <w:t>Offtaker</w:t>
      </w:r>
      <w:proofErr w:type="spellEnd"/>
      <w:r>
        <w:rPr>
          <w:rFonts w:ascii="Arial" w:hAnsi="Arial"/>
          <w:iCs/>
        </w:rPr>
        <w:t>, the Project Company and / or the lenders to the Project (including, without limitation, the Lender’s Technical Advisor).</w:t>
      </w:r>
    </w:p>
    <w:p w14:paraId="73AEBF5C" w14:textId="77777777" w:rsidR="00CD5509" w:rsidRDefault="00CD5509" w:rsidP="00CD5509">
      <w:pPr>
        <w:pStyle w:val="NoSpacing"/>
        <w:spacing w:after="240" w:line="276" w:lineRule="auto"/>
        <w:ind w:left="720" w:hanging="720"/>
        <w:jc w:val="both"/>
        <w:rPr>
          <w:rFonts w:ascii="Arial" w:hAnsi="Arial"/>
          <w:iCs/>
        </w:rPr>
      </w:pPr>
      <w:r>
        <w:rPr>
          <w:rFonts w:ascii="Arial" w:hAnsi="Arial"/>
          <w:iCs/>
        </w:rPr>
        <w:t>5.4</w:t>
      </w:r>
      <w:r>
        <w:rPr>
          <w:rFonts w:ascii="Arial" w:hAnsi="Arial"/>
          <w:iCs/>
        </w:rPr>
        <w:tab/>
        <w:t xml:space="preserve">The Independent Engineer shall comply with all applicable law, regulations, codes of practice and relevant national and international standards and shall, at its own cost, ensure that it holds and </w:t>
      </w:r>
      <w:proofErr w:type="gramStart"/>
      <w:r>
        <w:rPr>
          <w:rFonts w:ascii="Arial" w:hAnsi="Arial"/>
          <w:iCs/>
        </w:rPr>
        <w:t>will  continue</w:t>
      </w:r>
      <w:proofErr w:type="gramEnd"/>
      <w:r>
        <w:rPr>
          <w:rFonts w:ascii="Arial" w:hAnsi="Arial"/>
          <w:iCs/>
        </w:rPr>
        <w:t xml:space="preserve"> to hold all such licenses and approvals as may be required for the performance of its services.</w:t>
      </w:r>
    </w:p>
    <w:p w14:paraId="11F01ACB" w14:textId="77777777" w:rsidR="00CD5509" w:rsidRDefault="00CD5509" w:rsidP="00CD5509">
      <w:pPr>
        <w:pStyle w:val="NoSpacing"/>
        <w:spacing w:after="240" w:line="276" w:lineRule="auto"/>
        <w:ind w:left="720" w:hanging="720"/>
        <w:jc w:val="both"/>
        <w:rPr>
          <w:rFonts w:ascii="Arial" w:hAnsi="Arial"/>
          <w:iCs/>
        </w:rPr>
      </w:pPr>
      <w:r>
        <w:rPr>
          <w:rFonts w:ascii="Arial" w:hAnsi="Arial"/>
          <w:iCs/>
        </w:rPr>
        <w:t>5.6</w:t>
      </w:r>
      <w:r>
        <w:rPr>
          <w:rFonts w:ascii="Arial" w:hAnsi="Arial"/>
          <w:iCs/>
        </w:rPr>
        <w:tab/>
        <w:t xml:space="preserve">In order to fulfill the services the Independent Engineer is required to travel to </w:t>
      </w:r>
      <w:proofErr w:type="spellStart"/>
      <w:r>
        <w:rPr>
          <w:rFonts w:ascii="Arial" w:hAnsi="Arial"/>
          <w:iCs/>
        </w:rPr>
        <w:t>Mazar</w:t>
      </w:r>
      <w:proofErr w:type="spellEnd"/>
      <w:r>
        <w:rPr>
          <w:rFonts w:ascii="Arial" w:hAnsi="Arial"/>
          <w:iCs/>
        </w:rPr>
        <w:t xml:space="preserve">-e-Sharif and/or Kabul for meetings with the Project Company and </w:t>
      </w:r>
      <w:proofErr w:type="spellStart"/>
      <w:r>
        <w:rPr>
          <w:rFonts w:ascii="Arial" w:hAnsi="Arial"/>
          <w:iCs/>
        </w:rPr>
        <w:t>Offtaker</w:t>
      </w:r>
      <w:proofErr w:type="spellEnd"/>
      <w:r>
        <w:rPr>
          <w:rFonts w:ascii="Arial" w:hAnsi="Arial"/>
          <w:iCs/>
        </w:rPr>
        <w:t xml:space="preserve">. The candidate should include appropriate international travel costs within the price for the services. Local ground transportation and accommodation, including appropriate security arrangements, will be arranged by the Project Company. </w:t>
      </w:r>
    </w:p>
    <w:p w14:paraId="4340A6A7" w14:textId="77777777" w:rsidR="00CD5509" w:rsidRDefault="00CD5509" w:rsidP="00CD5509">
      <w:pPr>
        <w:pStyle w:val="NoSpacing"/>
        <w:spacing w:after="120" w:line="276" w:lineRule="auto"/>
        <w:ind w:left="720" w:hanging="720"/>
        <w:jc w:val="both"/>
        <w:rPr>
          <w:rFonts w:ascii="Arial" w:hAnsi="Arial"/>
          <w:iCs/>
        </w:rPr>
      </w:pPr>
    </w:p>
    <w:p w14:paraId="22462465" w14:textId="77777777" w:rsidR="00CD5509" w:rsidRDefault="00CD5509" w:rsidP="00CD5509">
      <w:pPr>
        <w:pStyle w:val="Heading1"/>
        <w:numPr>
          <w:ilvl w:val="0"/>
          <w:numId w:val="34"/>
        </w:numPr>
        <w:spacing w:before="240" w:after="240"/>
        <w:ind w:left="720"/>
        <w:jc w:val="both"/>
        <w:rPr>
          <w:rFonts w:ascii="Arial" w:hAnsi="Arial" w:cs="Arial"/>
          <w:color w:val="auto"/>
          <w:sz w:val="22"/>
          <w:szCs w:val="22"/>
        </w:rPr>
      </w:pPr>
      <w:bookmarkStart w:id="106" w:name="_Toc535779486"/>
      <w:bookmarkStart w:id="107" w:name="_Toc535781781"/>
      <w:bookmarkStart w:id="108" w:name="_Toc535779489"/>
      <w:bookmarkStart w:id="109" w:name="_Toc535781784"/>
      <w:bookmarkStart w:id="110" w:name="_Toc535779491"/>
      <w:bookmarkStart w:id="111" w:name="_Toc535781786"/>
      <w:bookmarkStart w:id="112" w:name="_Toc535779492"/>
      <w:bookmarkStart w:id="113" w:name="_Toc535781787"/>
      <w:bookmarkStart w:id="114" w:name="_Toc535779493"/>
      <w:bookmarkStart w:id="115" w:name="_Toc535781788"/>
      <w:bookmarkStart w:id="116" w:name="_Toc535779494"/>
      <w:bookmarkStart w:id="117" w:name="_Toc535781789"/>
      <w:bookmarkStart w:id="118" w:name="_Toc5788140"/>
      <w:bookmarkEnd w:id="106"/>
      <w:bookmarkEnd w:id="107"/>
      <w:bookmarkEnd w:id="108"/>
      <w:bookmarkEnd w:id="109"/>
      <w:bookmarkEnd w:id="110"/>
      <w:bookmarkEnd w:id="111"/>
      <w:bookmarkEnd w:id="112"/>
      <w:bookmarkEnd w:id="113"/>
      <w:bookmarkEnd w:id="114"/>
      <w:bookmarkEnd w:id="115"/>
      <w:bookmarkEnd w:id="116"/>
      <w:bookmarkEnd w:id="117"/>
      <w:r>
        <w:rPr>
          <w:rFonts w:ascii="Arial" w:hAnsi="Arial" w:cs="Arial"/>
          <w:color w:val="auto"/>
          <w:sz w:val="22"/>
          <w:szCs w:val="22"/>
        </w:rPr>
        <w:t>Duration of the Services</w:t>
      </w:r>
      <w:bookmarkEnd w:id="118"/>
      <w:r>
        <w:rPr>
          <w:rFonts w:ascii="Arial" w:hAnsi="Arial" w:cs="Arial"/>
          <w:color w:val="auto"/>
          <w:sz w:val="22"/>
          <w:szCs w:val="22"/>
        </w:rPr>
        <w:t xml:space="preserve"> </w:t>
      </w:r>
    </w:p>
    <w:p w14:paraId="77EEF45B" w14:textId="77777777" w:rsidR="00CD5509" w:rsidRDefault="00CD5509" w:rsidP="00CD5509">
      <w:pPr>
        <w:pStyle w:val="NoSpacing"/>
        <w:spacing w:after="120" w:line="276" w:lineRule="auto"/>
        <w:ind w:left="720"/>
        <w:jc w:val="both"/>
        <w:rPr>
          <w:rFonts w:ascii="Arial" w:hAnsi="Arial"/>
        </w:rPr>
      </w:pPr>
      <w:r>
        <w:rPr>
          <w:rFonts w:ascii="Arial" w:hAnsi="Arial"/>
        </w:rPr>
        <w:t xml:space="preserve">The Independent Engineer shall be engaged for the duration of the construction phase of the Project, until the Plant enters Commercial Operation. Duration of the construction </w:t>
      </w:r>
      <w:r>
        <w:rPr>
          <w:rFonts w:ascii="Arial" w:hAnsi="Arial"/>
        </w:rPr>
        <w:lastRenderedPageBreak/>
        <w:t>phase, including commissioning and testing is initially expected to be eighteen (</w:t>
      </w:r>
      <w:r>
        <w:rPr>
          <w:rFonts w:ascii="Arial" w:hAnsi="Arial"/>
          <w:bCs/>
        </w:rPr>
        <w:t>18) months</w:t>
      </w:r>
      <w:r>
        <w:rPr>
          <w:rFonts w:ascii="Arial" w:hAnsi="Arial"/>
        </w:rPr>
        <w:t xml:space="preserve"> from the date of effectiveness of the Independent Engineer Agreement. </w:t>
      </w:r>
    </w:p>
    <w:p w14:paraId="252133B5" w14:textId="77777777" w:rsidR="00CD5509" w:rsidRDefault="00CD5509" w:rsidP="00CD5509">
      <w:pPr>
        <w:pStyle w:val="NoSpacing"/>
        <w:spacing w:after="120" w:line="276" w:lineRule="auto"/>
        <w:ind w:left="720"/>
        <w:jc w:val="both"/>
        <w:rPr>
          <w:rFonts w:ascii="Arial" w:hAnsi="Arial"/>
        </w:rPr>
      </w:pPr>
    </w:p>
    <w:p w14:paraId="05C968EB" w14:textId="77777777" w:rsidR="00CD5509" w:rsidRDefault="00CD5509" w:rsidP="00CD5509">
      <w:pPr>
        <w:pStyle w:val="Heading1"/>
        <w:numPr>
          <w:ilvl w:val="0"/>
          <w:numId w:val="34"/>
        </w:numPr>
        <w:spacing w:before="240" w:after="240"/>
        <w:ind w:left="720"/>
        <w:jc w:val="both"/>
        <w:rPr>
          <w:rFonts w:ascii="Arial" w:hAnsi="Arial" w:cs="Arial"/>
          <w:color w:val="auto"/>
          <w:sz w:val="22"/>
          <w:szCs w:val="22"/>
        </w:rPr>
      </w:pPr>
      <w:bookmarkStart w:id="119" w:name="_Toc535779503"/>
      <w:bookmarkStart w:id="120" w:name="_Toc535781798"/>
      <w:bookmarkStart w:id="121" w:name="_Toc535779505"/>
      <w:bookmarkStart w:id="122" w:name="_Toc535781800"/>
      <w:bookmarkStart w:id="123" w:name="_Toc5788141"/>
      <w:bookmarkEnd w:id="119"/>
      <w:bookmarkEnd w:id="120"/>
      <w:bookmarkEnd w:id="121"/>
      <w:bookmarkEnd w:id="122"/>
      <w:r>
        <w:rPr>
          <w:rFonts w:ascii="Arial" w:hAnsi="Arial" w:cs="Arial"/>
          <w:color w:val="auto"/>
          <w:sz w:val="22"/>
          <w:szCs w:val="22"/>
        </w:rPr>
        <w:t>Staffing and Skill Mix</w:t>
      </w:r>
      <w:bookmarkEnd w:id="123"/>
      <w:r>
        <w:rPr>
          <w:rFonts w:ascii="Arial" w:hAnsi="Arial" w:cs="Arial"/>
          <w:color w:val="auto"/>
          <w:sz w:val="22"/>
          <w:szCs w:val="22"/>
        </w:rPr>
        <w:t xml:space="preserve"> </w:t>
      </w:r>
    </w:p>
    <w:p w14:paraId="1ACAC1C3" w14:textId="77777777" w:rsidR="00CD5509" w:rsidRDefault="00CD5509" w:rsidP="00CD5509">
      <w:pPr>
        <w:pStyle w:val="NoSpacing"/>
        <w:spacing w:after="240" w:line="276" w:lineRule="auto"/>
        <w:ind w:left="720"/>
        <w:jc w:val="both"/>
        <w:rPr>
          <w:rFonts w:ascii="Arial" w:hAnsi="Arial"/>
          <w:iCs/>
        </w:rPr>
      </w:pPr>
      <w:r>
        <w:rPr>
          <w:rFonts w:ascii="Arial" w:hAnsi="Arial"/>
          <w:iCs/>
        </w:rPr>
        <w:t xml:space="preserve">The Independent Engineer shall employ and provide adequate staff with relevant experience and background, so that it is able to properly perform its obligations in a timely manner as envisaged by this TOR document and under the Independent Engineer Agreement. </w:t>
      </w:r>
    </w:p>
    <w:p w14:paraId="6F7806C4" w14:textId="77777777" w:rsidR="00CD5509" w:rsidRDefault="00CD5509" w:rsidP="00CD5509">
      <w:pPr>
        <w:rPr>
          <w:rFonts w:ascii="Arial" w:hAnsi="Arial"/>
          <w:iCs/>
        </w:rPr>
      </w:pPr>
      <w:r>
        <w:rPr>
          <w:rFonts w:ascii="Arial" w:hAnsi="Arial"/>
          <w:b/>
          <w:bCs/>
          <w:iCs/>
        </w:rPr>
        <w:t>Eligible Countries:</w:t>
      </w:r>
      <w:r>
        <w:rPr>
          <w:rFonts w:ascii="Arial" w:hAnsi="Arial"/>
          <w:iCs/>
        </w:rPr>
        <w:t xml:space="preserve">  Iranian companies are not eligible to participate.</w:t>
      </w:r>
    </w:p>
    <w:p w14:paraId="6AA87E7E" w14:textId="77777777" w:rsidR="00CD5509" w:rsidRDefault="00CD5509" w:rsidP="00CD5509">
      <w:pPr>
        <w:rPr>
          <w:rFonts w:ascii="Arial" w:hAnsi="Arial"/>
          <w:iCs/>
          <w:rtl/>
        </w:rPr>
      </w:pPr>
      <w:r>
        <w:rPr>
          <w:rFonts w:ascii="Arial" w:hAnsi="Arial"/>
          <w:iCs/>
        </w:rPr>
        <w:t>Note: Those firms who are interested can obtain the soft TOR (Term of reference) of this project from DABS procurement directorate for submission of EOIs (Expression of interests), or can contact the below email for further information.</w:t>
      </w:r>
    </w:p>
    <w:p w14:paraId="009C99CA" w14:textId="672B450F" w:rsidR="00645B8B" w:rsidRPr="00645B8B" w:rsidRDefault="00645B8B" w:rsidP="00645B8B">
      <w:pPr>
        <w:rPr>
          <w:rFonts w:ascii="Arial" w:hAnsi="Arial"/>
          <w:b/>
          <w:bCs/>
          <w:iCs/>
        </w:rPr>
      </w:pPr>
      <w:r w:rsidRPr="00645B8B">
        <w:rPr>
          <w:rFonts w:ascii="Arial" w:hAnsi="Arial"/>
          <w:b/>
          <w:bCs/>
          <w:iCs/>
        </w:rPr>
        <w:t>Deadline for submission of EOI:</w:t>
      </w:r>
      <w:r w:rsidRPr="00645B8B">
        <w:rPr>
          <w:rFonts w:ascii="Times New Roman" w:hAnsi="Times New Roman" w:cs="Times New Roman"/>
          <w:b/>
          <w:bCs/>
          <w:spacing w:val="-2"/>
          <w:szCs w:val="24"/>
          <w:lang w:bidi="ps-AF"/>
        </w:rPr>
        <w:t xml:space="preserve"> </w:t>
      </w:r>
      <w:r>
        <w:rPr>
          <w:rFonts w:ascii="Times New Roman" w:hAnsi="Times New Roman" w:cs="Times New Roman"/>
          <w:b/>
          <w:bCs/>
          <w:spacing w:val="-2"/>
          <w:szCs w:val="24"/>
          <w:lang w:bidi="ps-AF"/>
        </w:rPr>
        <w:t xml:space="preserve">March </w:t>
      </w:r>
      <w:r>
        <w:rPr>
          <w:rFonts w:ascii="Times New Roman" w:hAnsi="Times New Roman" w:cs="Times New Roman"/>
          <w:b/>
          <w:bCs/>
          <w:spacing w:val="-2"/>
          <w:szCs w:val="24"/>
        </w:rPr>
        <w:t>30</w:t>
      </w:r>
      <w:r w:rsidRPr="006C07CD">
        <w:rPr>
          <w:rFonts w:ascii="Times New Roman" w:hAnsi="Times New Roman" w:cs="Times New Roman"/>
          <w:b/>
          <w:bCs/>
          <w:spacing w:val="-2"/>
          <w:szCs w:val="24"/>
        </w:rPr>
        <w:t xml:space="preserve">, </w:t>
      </w:r>
      <w:r>
        <w:rPr>
          <w:rFonts w:ascii="Times New Roman" w:hAnsi="Times New Roman" w:cs="Times New Roman"/>
          <w:b/>
          <w:bCs/>
          <w:spacing w:val="-2"/>
          <w:szCs w:val="24"/>
        </w:rPr>
        <w:t xml:space="preserve">2020  </w:t>
      </w:r>
      <w:r w:rsidRPr="006C07CD">
        <w:rPr>
          <w:rFonts w:ascii="Times New Roman" w:hAnsi="Times New Roman" w:cs="Times New Roman"/>
          <w:b/>
          <w:bCs/>
          <w:spacing w:val="-2"/>
          <w:szCs w:val="24"/>
        </w:rPr>
        <w:t xml:space="preserve"> </w:t>
      </w:r>
      <w:r>
        <w:rPr>
          <w:rFonts w:ascii="Times New Roman" w:hAnsi="Times New Roman" w:cs="Times New Roman"/>
          <w:b/>
          <w:bCs/>
          <w:spacing w:val="-2"/>
          <w:szCs w:val="24"/>
        </w:rPr>
        <w:t>16</w:t>
      </w:r>
      <w:r w:rsidRPr="006C07CD">
        <w:rPr>
          <w:rFonts w:ascii="Times New Roman" w:hAnsi="Times New Roman" w:cs="Times New Roman"/>
          <w:b/>
          <w:bCs/>
          <w:spacing w:val="-2"/>
          <w:szCs w:val="24"/>
        </w:rPr>
        <w:t xml:space="preserve">:00 </w:t>
      </w:r>
      <w:r w:rsidRPr="006C07CD">
        <w:rPr>
          <w:rFonts w:ascii="Times New Roman" w:hAnsi="Times New Roman" w:cs="Times New Roman"/>
          <w:b/>
          <w:bCs/>
          <w:spacing w:val="-2"/>
          <w:szCs w:val="24"/>
        </w:rPr>
        <w:t>Hrs.</w:t>
      </w:r>
      <w:r w:rsidRPr="006C07CD">
        <w:rPr>
          <w:rFonts w:ascii="Times New Roman" w:hAnsi="Times New Roman" w:cs="Times New Roman"/>
          <w:b/>
          <w:bCs/>
          <w:spacing w:val="-2"/>
          <w:szCs w:val="24"/>
        </w:rPr>
        <w:t xml:space="preserve"> (Kabul Local Time)</w:t>
      </w:r>
    </w:p>
    <w:p w14:paraId="5D099A30" w14:textId="77777777" w:rsidR="00CD5509" w:rsidRDefault="00CD5509" w:rsidP="00CD5509">
      <w:pPr>
        <w:rPr>
          <w:rFonts w:ascii="Arial" w:hAnsi="Arial"/>
          <w:b/>
          <w:bCs/>
          <w:iCs/>
        </w:rPr>
      </w:pPr>
      <w:r>
        <w:rPr>
          <w:rFonts w:ascii="Arial" w:hAnsi="Arial"/>
          <w:b/>
          <w:bCs/>
          <w:iCs/>
        </w:rPr>
        <w:t>Mirwais Fazly</w:t>
      </w:r>
      <w:bookmarkStart w:id="124" w:name="_GoBack"/>
      <w:bookmarkEnd w:id="124"/>
    </w:p>
    <w:p w14:paraId="546D0B4A" w14:textId="77777777" w:rsidR="00CD5509" w:rsidRDefault="00CD5509" w:rsidP="00CD5509">
      <w:pPr>
        <w:rPr>
          <w:rFonts w:ascii="Arial" w:hAnsi="Arial"/>
          <w:b/>
          <w:bCs/>
          <w:iCs/>
        </w:rPr>
      </w:pPr>
      <w:r>
        <w:rPr>
          <w:rFonts w:ascii="Arial" w:hAnsi="Arial"/>
          <w:b/>
          <w:bCs/>
          <w:iCs/>
        </w:rPr>
        <w:t xml:space="preserve">Procurement/Consultancy officer </w:t>
      </w:r>
    </w:p>
    <w:p w14:paraId="7656E647" w14:textId="3537B756" w:rsidR="00CD5509" w:rsidRDefault="00F272FE" w:rsidP="00CD5509">
      <w:pPr>
        <w:rPr>
          <w:rStyle w:val="Hyperlink"/>
          <w:rFonts w:ascii="Arial" w:hAnsi="Arial"/>
          <w:iCs/>
          <w:u w:val="none"/>
        </w:rPr>
      </w:pPr>
      <w:hyperlink r:id="rId6" w:history="1">
        <w:r w:rsidR="00CD5509" w:rsidRPr="00645115">
          <w:rPr>
            <w:rStyle w:val="Hyperlink"/>
            <w:rFonts w:ascii="Arial" w:hAnsi="Arial"/>
            <w:iCs/>
          </w:rPr>
          <w:t>mirwais.fazly@dabs.af</w:t>
        </w:r>
      </w:hyperlink>
      <w:r w:rsidR="00645115">
        <w:rPr>
          <w:rStyle w:val="Hyperlink"/>
          <w:rFonts w:ascii="Arial" w:hAnsi="Arial"/>
          <w:iCs/>
        </w:rPr>
        <w:t xml:space="preserve"> </w:t>
      </w:r>
      <w:r w:rsidR="00645115" w:rsidRPr="00645115">
        <w:rPr>
          <w:rStyle w:val="Hyperlink"/>
          <w:rFonts w:ascii="Arial" w:hAnsi="Arial"/>
          <w:iCs/>
          <w:u w:val="none"/>
        </w:rPr>
        <w:t xml:space="preserve">       and</w:t>
      </w:r>
      <w:r w:rsidR="00645115">
        <w:rPr>
          <w:rStyle w:val="Hyperlink"/>
          <w:rFonts w:ascii="Arial" w:hAnsi="Arial"/>
          <w:iCs/>
          <w:u w:val="none"/>
        </w:rPr>
        <w:t xml:space="preserve">     </w:t>
      </w:r>
      <w:hyperlink r:id="rId7" w:history="1">
        <w:r w:rsidR="00645115" w:rsidRPr="00357FAF">
          <w:rPr>
            <w:rStyle w:val="Hyperlink"/>
            <w:rFonts w:ascii="Arial" w:hAnsi="Arial"/>
            <w:iCs/>
          </w:rPr>
          <w:t>hekmat.ranjbar@kbd.dabs.af</w:t>
        </w:r>
      </w:hyperlink>
    </w:p>
    <w:p w14:paraId="034CC4AA" w14:textId="649D607D" w:rsidR="00014EB7" w:rsidRPr="00FE18BB" w:rsidRDefault="00645115" w:rsidP="00645115">
      <w:pPr>
        <w:tabs>
          <w:tab w:val="left" w:pos="2865"/>
        </w:tabs>
        <w:spacing w:line="480" w:lineRule="auto"/>
        <w:jc w:val="both"/>
        <w:rPr>
          <w:rFonts w:ascii="Times New Roman" w:hAnsi="Times New Roman"/>
          <w:b/>
          <w:sz w:val="24"/>
          <w:szCs w:val="24"/>
        </w:rPr>
      </w:pPr>
      <w:r>
        <w:rPr>
          <w:rFonts w:ascii="Times New Roman" w:hAnsi="Times New Roman"/>
          <w:b/>
          <w:sz w:val="24"/>
          <w:szCs w:val="24"/>
        </w:rPr>
        <w:tab/>
      </w:r>
    </w:p>
    <w:sectPr w:rsidR="00014EB7" w:rsidRPr="00FE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charset w:val="00"/>
    <w:family w:val="script"/>
    <w:pitch w:val="variable"/>
    <w:sig w:usb0="00000000"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DDB"/>
    <w:multiLevelType w:val="hybridMultilevel"/>
    <w:tmpl w:val="F2C291A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114D"/>
    <w:multiLevelType w:val="hybridMultilevel"/>
    <w:tmpl w:val="EC96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946E4"/>
    <w:multiLevelType w:val="hybridMultilevel"/>
    <w:tmpl w:val="A3BCD940"/>
    <w:numStyleLink w:val="ImportedStyle1"/>
  </w:abstractNum>
  <w:abstractNum w:abstractNumId="3">
    <w:nsid w:val="0D907915"/>
    <w:multiLevelType w:val="hybridMultilevel"/>
    <w:tmpl w:val="C756E280"/>
    <w:lvl w:ilvl="0" w:tplc="6A80144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0E5D3E3C"/>
    <w:multiLevelType w:val="hybridMultilevel"/>
    <w:tmpl w:val="9A7285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B4507"/>
    <w:multiLevelType w:val="hybridMultilevel"/>
    <w:tmpl w:val="9ED6F32C"/>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45D69F0"/>
    <w:multiLevelType w:val="hybridMultilevel"/>
    <w:tmpl w:val="EEA48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478BE"/>
    <w:multiLevelType w:val="hybridMultilevel"/>
    <w:tmpl w:val="E6D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65B0E"/>
    <w:multiLevelType w:val="hybridMultilevel"/>
    <w:tmpl w:val="513863D6"/>
    <w:lvl w:ilvl="0" w:tplc="43F47578">
      <w:start w:val="1"/>
      <w:numFmt w:val="decimal"/>
      <w:lvlText w:val="%1."/>
      <w:lvlJc w:val="left"/>
      <w:pPr>
        <w:ind w:left="648" w:hanging="360"/>
      </w:pPr>
      <w:rPr>
        <w:rFonts w:hint="default"/>
        <w:b w:val="0"/>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cs="Times New Roman"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nsid w:val="22BC5217"/>
    <w:multiLevelType w:val="hybridMultilevel"/>
    <w:tmpl w:val="FDE85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63018B"/>
    <w:multiLevelType w:val="hybridMultilevel"/>
    <w:tmpl w:val="D78A4C1C"/>
    <w:lvl w:ilvl="0" w:tplc="04090017">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1C513A"/>
    <w:multiLevelType w:val="multilevel"/>
    <w:tmpl w:val="ABB0121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3">
    <w:nsid w:val="2DAA007C"/>
    <w:multiLevelType w:val="hybridMultilevel"/>
    <w:tmpl w:val="98F2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D1552"/>
    <w:multiLevelType w:val="multilevel"/>
    <w:tmpl w:val="1E982032"/>
    <w:lvl w:ilvl="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vertAlign w:val="baseline"/>
      </w:rPr>
    </w:lvl>
    <w:lvl w:ilvl="1">
      <w:start w:val="1"/>
      <w:numFmt w:val="lowerLetter"/>
      <w:lvlText w:val="%2."/>
      <w:lvlJc w:val="left"/>
      <w:pPr>
        <w:ind w:left="1800" w:hanging="36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ind w:left="2520" w:hanging="285"/>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ind w:left="3240" w:hanging="360"/>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ind w:left="3960" w:hanging="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ind w:left="4680" w:hanging="285"/>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ind w:left="5400" w:hanging="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ind w:left="6120" w:hanging="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ind w:left="6840" w:hanging="285"/>
      </w:pPr>
      <w:rPr>
        <w:rFonts w:hAnsi="Arial Unicode MS" w:hint="default"/>
        <w:caps w:val="0"/>
        <w:smallCaps w:val="0"/>
        <w:strike w:val="0"/>
        <w:dstrike w:val="0"/>
        <w:color w:val="000000"/>
        <w:spacing w:val="0"/>
        <w:w w:val="100"/>
        <w:kern w:val="0"/>
        <w:position w:val="0"/>
        <w:vertAlign w:val="baseline"/>
      </w:rPr>
    </w:lvl>
  </w:abstractNum>
  <w:abstractNum w:abstractNumId="15">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69254E"/>
    <w:multiLevelType w:val="hybridMultilevel"/>
    <w:tmpl w:val="E8500A4E"/>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F415E38"/>
    <w:multiLevelType w:val="hybridMultilevel"/>
    <w:tmpl w:val="A3BCD940"/>
    <w:styleLink w:val="ImportedStyle1"/>
    <w:lvl w:ilvl="0" w:tplc="FFEC892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10E9F9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1C74FF68">
      <w:start w:val="1"/>
      <w:numFmt w:val="lowerRoman"/>
      <w:lvlText w:val="%3."/>
      <w:lvlJc w:val="left"/>
      <w:pPr>
        <w:ind w:left="1800" w:hanging="299"/>
      </w:pPr>
      <w:rPr>
        <w:rFonts w:hAnsi="Arial Unicode MS"/>
        <w:b/>
        <w:bCs/>
        <w:caps w:val="0"/>
        <w:smallCaps w:val="0"/>
        <w:strike w:val="0"/>
        <w:dstrike w:val="0"/>
        <w:color w:val="000000"/>
        <w:spacing w:val="0"/>
        <w:w w:val="100"/>
        <w:kern w:val="0"/>
        <w:position w:val="0"/>
        <w:highlight w:val="none"/>
        <w:vertAlign w:val="baseline"/>
      </w:rPr>
    </w:lvl>
    <w:lvl w:ilvl="3" w:tplc="BE2C468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9EE07F4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DA3A8166">
      <w:start w:val="1"/>
      <w:numFmt w:val="lowerRoman"/>
      <w:lvlText w:val="%6."/>
      <w:lvlJc w:val="left"/>
      <w:pPr>
        <w:ind w:left="3960" w:hanging="299"/>
      </w:pPr>
      <w:rPr>
        <w:rFonts w:hAnsi="Arial Unicode MS"/>
        <w:b/>
        <w:bCs/>
        <w:caps w:val="0"/>
        <w:smallCaps w:val="0"/>
        <w:strike w:val="0"/>
        <w:dstrike w:val="0"/>
        <w:color w:val="000000"/>
        <w:spacing w:val="0"/>
        <w:w w:val="100"/>
        <w:kern w:val="0"/>
        <w:position w:val="0"/>
        <w:highlight w:val="none"/>
        <w:vertAlign w:val="baseline"/>
      </w:rPr>
    </w:lvl>
    <w:lvl w:ilvl="6" w:tplc="CF06B12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03366982">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0164A160">
      <w:start w:val="1"/>
      <w:numFmt w:val="lowerRoman"/>
      <w:lvlText w:val="%9."/>
      <w:lvlJc w:val="left"/>
      <w:pPr>
        <w:ind w:left="6120" w:hanging="299"/>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40664CCD"/>
    <w:multiLevelType w:val="hybridMultilevel"/>
    <w:tmpl w:val="3C2E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7211B6"/>
    <w:multiLevelType w:val="hybridMultilevel"/>
    <w:tmpl w:val="E802486E"/>
    <w:lvl w:ilvl="0" w:tplc="CE0A0B4A">
      <w:start w:val="1"/>
      <w:numFmt w:val="lowerRoman"/>
      <w:lvlText w:val="%1."/>
      <w:lvlJc w:val="left"/>
      <w:pPr>
        <w:ind w:left="720" w:hanging="360"/>
      </w:pPr>
      <w:rPr>
        <w:rFonts w:ascii="Calibri" w:eastAsia="Times New Roman" w:hAnsi="Calibri" w:cs="Calibri"/>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4A50DF"/>
    <w:multiLevelType w:val="hybridMultilevel"/>
    <w:tmpl w:val="8EA829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35437AE"/>
    <w:multiLevelType w:val="hybridMultilevel"/>
    <w:tmpl w:val="91A01F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E3976"/>
    <w:multiLevelType w:val="hybridMultilevel"/>
    <w:tmpl w:val="A5F2A284"/>
    <w:lvl w:ilvl="0" w:tplc="0409001B">
      <w:start w:val="1"/>
      <w:numFmt w:val="lowerRoman"/>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8AC4098"/>
    <w:multiLevelType w:val="hybridMultilevel"/>
    <w:tmpl w:val="359AE6DC"/>
    <w:lvl w:ilvl="0" w:tplc="2E108D68">
      <w:start w:val="1"/>
      <w:numFmt w:val="low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C161A22"/>
    <w:multiLevelType w:val="hybridMultilevel"/>
    <w:tmpl w:val="44389A5C"/>
    <w:lvl w:ilvl="0" w:tplc="539C146E">
      <w:start w:val="4"/>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F8734EB"/>
    <w:multiLevelType w:val="hybridMultilevel"/>
    <w:tmpl w:val="F5427CD8"/>
    <w:lvl w:ilvl="0" w:tplc="1056F274">
      <w:start w:val="1"/>
      <w:numFmt w:val="decimal"/>
      <w:lvlText w:val="%1."/>
      <w:lvlJc w:val="left"/>
      <w:pPr>
        <w:ind w:left="450" w:hanging="360"/>
      </w:pPr>
      <w:rPr>
        <w:rFonts w:asciiTheme="majorBidi" w:eastAsiaTheme="minorHAnsi" w:hAnsiTheme="majorBidi" w:cstheme="maj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D170F7C"/>
    <w:multiLevelType w:val="hybridMultilevel"/>
    <w:tmpl w:val="50C4C20A"/>
    <w:numStyleLink w:val="ImportedStyle12"/>
  </w:abstractNum>
  <w:abstractNum w:abstractNumId="28">
    <w:nsid w:val="5F3D6C4D"/>
    <w:multiLevelType w:val="hybridMultilevel"/>
    <w:tmpl w:val="1F6AA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0B263A0"/>
    <w:multiLevelType w:val="hybridMultilevel"/>
    <w:tmpl w:val="9DF69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B3A54"/>
    <w:multiLevelType w:val="hybridMultilevel"/>
    <w:tmpl w:val="71CE5ABA"/>
    <w:lvl w:ilvl="0" w:tplc="1A266CE4">
      <w:start w:val="1"/>
      <w:numFmt w:val="decimal"/>
      <w:lvlText w:val="%1."/>
      <w:lvlJc w:val="left"/>
      <w:pPr>
        <w:ind w:left="360" w:hanging="360"/>
      </w:pPr>
      <w:rPr>
        <w:rFonts w:ascii="Times New Roman" w:hAnsi="Times New Roman" w:hint="default"/>
        <w:b/>
        <w:bCs w:val="0"/>
        <w:i w:val="0"/>
        <w:iCs w:val="0"/>
        <w:color w:val="auto"/>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0595E"/>
    <w:multiLevelType w:val="hybridMultilevel"/>
    <w:tmpl w:val="85CC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16B51"/>
    <w:multiLevelType w:val="hybridMultilevel"/>
    <w:tmpl w:val="7C22884E"/>
    <w:lvl w:ilvl="0" w:tplc="4874FF98">
      <w:start w:val="1"/>
      <w:numFmt w:val="lowerLetter"/>
      <w:lvlText w:val="(%1)"/>
      <w:lvlJc w:val="left"/>
      <w:pPr>
        <w:ind w:left="720" w:hanging="360"/>
      </w:pPr>
    </w:lvl>
    <w:lvl w:ilvl="1" w:tplc="AA4249D6">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DB92ECD"/>
    <w:multiLevelType w:val="hybridMultilevel"/>
    <w:tmpl w:val="50C4C20A"/>
    <w:styleLink w:val="ImportedStyle12"/>
    <w:lvl w:ilvl="0" w:tplc="846209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06036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DBE7E7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436CD6A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9E258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0925D2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F36055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CE0D4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848756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4">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3"/>
  </w:num>
  <w:num w:numId="5">
    <w:abstractNumId w:val="26"/>
  </w:num>
  <w:num w:numId="6">
    <w:abstractNumId w:val="22"/>
  </w:num>
  <w:num w:numId="7">
    <w:abstractNumId w:val="18"/>
  </w:num>
  <w:num w:numId="8">
    <w:abstractNumId w:val="2"/>
  </w:num>
  <w:num w:numId="9">
    <w:abstractNumId w:val="33"/>
  </w:num>
  <w:num w:numId="10">
    <w:abstractNumId w:val="27"/>
  </w:num>
  <w:num w:numId="11">
    <w:abstractNumId w:val="14"/>
  </w:num>
  <w:num w:numId="12">
    <w:abstractNumId w:val="6"/>
  </w:num>
  <w:num w:numId="13">
    <w:abstractNumId w:val="13"/>
  </w:num>
  <w:num w:numId="14">
    <w:abstractNumId w:val="4"/>
  </w:num>
  <w:num w:numId="15">
    <w:abstractNumId w:val="7"/>
  </w:num>
  <w:num w:numId="16">
    <w:abstractNumId w:val="8"/>
  </w:num>
  <w:num w:numId="17">
    <w:abstractNumId w:val="29"/>
  </w:num>
  <w:num w:numId="18">
    <w:abstractNumId w:val="30"/>
  </w:num>
  <w:num w:numId="19">
    <w:abstractNumId w:val="24"/>
  </w:num>
  <w:num w:numId="20">
    <w:abstractNumId w:val="21"/>
  </w:num>
  <w:num w:numId="21">
    <w:abstractNumId w:val="20"/>
  </w:num>
  <w:num w:numId="22">
    <w:abstractNumId w:val="11"/>
  </w:num>
  <w:num w:numId="23">
    <w:abstractNumId w:val="31"/>
  </w:num>
  <w:num w:numId="24">
    <w:abstractNumId w:val="19"/>
  </w:num>
  <w:num w:numId="25">
    <w:abstractNumId w:val="25"/>
  </w:num>
  <w:num w:numId="2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5"/>
  </w:num>
  <w:num w:numId="29">
    <w:abstractNumId w:val="34"/>
  </w:num>
  <w:num w:numId="30">
    <w:abstractNumId w:val="5"/>
  </w:num>
  <w:num w:numId="31">
    <w:abstractNumId w:val="16"/>
  </w:num>
  <w:num w:numId="32">
    <w:abstractNumId w:val="12"/>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AC"/>
    <w:rsid w:val="00014EB7"/>
    <w:rsid w:val="00037C5A"/>
    <w:rsid w:val="00051F7E"/>
    <w:rsid w:val="000A29A4"/>
    <w:rsid w:val="001256C1"/>
    <w:rsid w:val="00147454"/>
    <w:rsid w:val="00154083"/>
    <w:rsid w:val="00182D34"/>
    <w:rsid w:val="00185F08"/>
    <w:rsid w:val="001B009E"/>
    <w:rsid w:val="0020011D"/>
    <w:rsid w:val="00210764"/>
    <w:rsid w:val="0022659C"/>
    <w:rsid w:val="00226977"/>
    <w:rsid w:val="002278CF"/>
    <w:rsid w:val="002435E0"/>
    <w:rsid w:val="002D7890"/>
    <w:rsid w:val="00302FCA"/>
    <w:rsid w:val="00307E27"/>
    <w:rsid w:val="00330E59"/>
    <w:rsid w:val="0033354E"/>
    <w:rsid w:val="00370A1F"/>
    <w:rsid w:val="003A43CF"/>
    <w:rsid w:val="00413670"/>
    <w:rsid w:val="00441F25"/>
    <w:rsid w:val="00455475"/>
    <w:rsid w:val="004A2AAC"/>
    <w:rsid w:val="00541440"/>
    <w:rsid w:val="005428B4"/>
    <w:rsid w:val="005562FD"/>
    <w:rsid w:val="00560B98"/>
    <w:rsid w:val="00567A55"/>
    <w:rsid w:val="005C5058"/>
    <w:rsid w:val="005F7588"/>
    <w:rsid w:val="0060513C"/>
    <w:rsid w:val="00626624"/>
    <w:rsid w:val="00645115"/>
    <w:rsid w:val="00645B8B"/>
    <w:rsid w:val="006947FA"/>
    <w:rsid w:val="0071056A"/>
    <w:rsid w:val="00782283"/>
    <w:rsid w:val="00791A9C"/>
    <w:rsid w:val="007A1464"/>
    <w:rsid w:val="007E7B8F"/>
    <w:rsid w:val="00890A70"/>
    <w:rsid w:val="00893618"/>
    <w:rsid w:val="008F09B7"/>
    <w:rsid w:val="008F155D"/>
    <w:rsid w:val="009B1DBF"/>
    <w:rsid w:val="00A11E3E"/>
    <w:rsid w:val="00A25BC4"/>
    <w:rsid w:val="00A27ECB"/>
    <w:rsid w:val="00A41ABC"/>
    <w:rsid w:val="00A66D9F"/>
    <w:rsid w:val="00AD09A6"/>
    <w:rsid w:val="00B45C92"/>
    <w:rsid w:val="00B622A2"/>
    <w:rsid w:val="00B70D4F"/>
    <w:rsid w:val="00B75440"/>
    <w:rsid w:val="00BE2207"/>
    <w:rsid w:val="00C0136E"/>
    <w:rsid w:val="00C95540"/>
    <w:rsid w:val="00CD5509"/>
    <w:rsid w:val="00CE33F3"/>
    <w:rsid w:val="00CF5ED1"/>
    <w:rsid w:val="00D31A9C"/>
    <w:rsid w:val="00D87A9C"/>
    <w:rsid w:val="00DA0E2C"/>
    <w:rsid w:val="00DD300D"/>
    <w:rsid w:val="00E77CF6"/>
    <w:rsid w:val="00E906DB"/>
    <w:rsid w:val="00E93C06"/>
    <w:rsid w:val="00EE6ADA"/>
    <w:rsid w:val="00F51DE5"/>
    <w:rsid w:val="00F6273A"/>
    <w:rsid w:val="00F94DFC"/>
    <w:rsid w:val="00FA16D3"/>
    <w:rsid w:val="00FE1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626C18"/>
  <w15:docId w15:val="{289AA9AB-A280-4EF6-AE77-3C3D6F39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AC"/>
  </w:style>
  <w:style w:type="paragraph" w:styleId="Heading1">
    <w:name w:val="heading 1"/>
    <w:basedOn w:val="Normal"/>
    <w:next w:val="Normal"/>
    <w:link w:val="Heading1Char"/>
    <w:uiPriority w:val="9"/>
    <w:qFormat/>
    <w:rsid w:val="003A4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2AAC"/>
    <w:pPr>
      <w:keepNext/>
      <w:keepLines/>
      <w:tabs>
        <w:tab w:val="left" w:pos="-720"/>
      </w:tabs>
      <w:suppressAutoHyphens/>
      <w:spacing w:after="0" w:line="240" w:lineRule="auto"/>
      <w:jc w:val="center"/>
      <w:outlineLvl w:val="1"/>
    </w:pPr>
    <w:rPr>
      <w:rFonts w:ascii="CG Times" w:eastAsia="Times New Roman" w:hAnsi="CG Times" w:cs="Times New Roman"/>
      <w:b/>
      <w:smallCaps/>
      <w:szCs w:val="20"/>
    </w:rPr>
  </w:style>
  <w:style w:type="paragraph" w:styleId="Heading3">
    <w:name w:val="heading 3"/>
    <w:basedOn w:val="Normal"/>
    <w:next w:val="Normal"/>
    <w:link w:val="Heading3Char"/>
    <w:uiPriority w:val="9"/>
    <w:semiHidden/>
    <w:unhideWhenUsed/>
    <w:qFormat/>
    <w:rsid w:val="004A2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AAC"/>
    <w:rPr>
      <w:rFonts w:ascii="CG Times" w:eastAsia="Times New Roman" w:hAnsi="CG Times" w:cs="Times New Roman"/>
      <w:b/>
      <w:smallCaps/>
      <w:szCs w:val="20"/>
    </w:rPr>
  </w:style>
  <w:style w:type="character" w:customStyle="1" w:styleId="Heading3Char">
    <w:name w:val="Heading 3 Char"/>
    <w:basedOn w:val="DefaultParagraphFont"/>
    <w:link w:val="Heading3"/>
    <w:uiPriority w:val="9"/>
    <w:semiHidden/>
    <w:rsid w:val="004A2AAC"/>
    <w:rPr>
      <w:rFonts w:asciiTheme="majorHAnsi" w:eastAsiaTheme="majorEastAsia" w:hAnsiTheme="majorHAnsi" w:cstheme="majorBidi"/>
      <w:color w:val="243F60" w:themeColor="accent1" w:themeShade="7F"/>
      <w:sz w:val="24"/>
      <w:szCs w:val="24"/>
    </w:rPr>
  </w:style>
  <w:style w:type="paragraph" w:styleId="ListParagraph">
    <w:name w:val="List Paragraph"/>
    <w:aliases w:val="List Paragraph (numbered (a)),List_Paragraph,Multilevel para_II,List Paragraph1,MC Paragraphe Liste,Colorful List - Accent 11,Normal 2,References,Citation List,Resume Title,Bullets,Numbered List Paragraph,123 List Paragraph,Celula"/>
    <w:basedOn w:val="Normal"/>
    <w:link w:val="ListParagraphChar"/>
    <w:uiPriority w:val="34"/>
    <w:qFormat/>
    <w:rsid w:val="004A2AAC"/>
    <w:pPr>
      <w:ind w:left="720"/>
      <w:contextualSpacing/>
    </w:pPr>
  </w:style>
  <w:style w:type="character" w:customStyle="1" w:styleId="ListParagraphChar">
    <w:name w:val="List Paragraph Char"/>
    <w:aliases w:val="List Paragraph (numbered (a)) Char,List_Paragraph Char,Multilevel para_II Char,List Paragraph1 Char,MC Paragraphe Liste Char,Colorful List - Accent 11 Char,Normal 2 Char,References Char,Citation List Char,Resume Title Char"/>
    <w:link w:val="ListParagraph"/>
    <w:uiPriority w:val="34"/>
    <w:locked/>
    <w:rsid w:val="004A2AAC"/>
  </w:style>
  <w:style w:type="paragraph" w:customStyle="1" w:styleId="Default">
    <w:name w:val="Default"/>
    <w:rsid w:val="004A2AA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A2AAC"/>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2A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A2AAC"/>
    <w:rPr>
      <w:color w:val="0000FF"/>
      <w:u w:val="single"/>
    </w:rPr>
  </w:style>
  <w:style w:type="character" w:customStyle="1" w:styleId="tt2">
    <w:name w:val="tt2"/>
    <w:basedOn w:val="DefaultParagraphFont"/>
    <w:rsid w:val="004A2AAC"/>
  </w:style>
  <w:style w:type="paragraph" w:customStyle="1" w:styleId="Heading1a">
    <w:name w:val="Heading 1a"/>
    <w:rsid w:val="004A2AA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CM3">
    <w:name w:val="CM3"/>
    <w:basedOn w:val="Default"/>
    <w:next w:val="Default"/>
    <w:rsid w:val="004A2AAC"/>
    <w:rPr>
      <w:rFonts w:ascii="Arial" w:eastAsia="Times New Roman" w:hAnsi="Arial"/>
      <w:color w:val="auto"/>
    </w:rPr>
  </w:style>
  <w:style w:type="numbering" w:customStyle="1" w:styleId="ImportedStyle1">
    <w:name w:val="Imported Style 1"/>
    <w:rsid w:val="004A2AAC"/>
    <w:pPr>
      <w:numPr>
        <w:numId w:val="7"/>
      </w:numPr>
    </w:pPr>
  </w:style>
  <w:style w:type="numbering" w:customStyle="1" w:styleId="ImportedStyle12">
    <w:name w:val="Imported Style 12"/>
    <w:rsid w:val="004A2AAC"/>
    <w:pPr>
      <w:numPr>
        <w:numId w:val="9"/>
      </w:numPr>
    </w:pPr>
  </w:style>
  <w:style w:type="paragraph" w:styleId="BalloonText">
    <w:name w:val="Balloon Text"/>
    <w:basedOn w:val="Normal"/>
    <w:link w:val="BalloonTextChar"/>
    <w:uiPriority w:val="99"/>
    <w:semiHidden/>
    <w:unhideWhenUsed/>
    <w:rsid w:val="0015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83"/>
    <w:rPr>
      <w:rFonts w:ascii="Segoe UI" w:hAnsi="Segoe UI" w:cs="Segoe UI"/>
      <w:sz w:val="18"/>
      <w:szCs w:val="18"/>
    </w:rPr>
  </w:style>
  <w:style w:type="character" w:styleId="CommentReference">
    <w:name w:val="annotation reference"/>
    <w:basedOn w:val="DefaultParagraphFont"/>
    <w:uiPriority w:val="99"/>
    <w:semiHidden/>
    <w:unhideWhenUsed/>
    <w:rsid w:val="00D87A9C"/>
    <w:rPr>
      <w:sz w:val="16"/>
      <w:szCs w:val="16"/>
    </w:rPr>
  </w:style>
  <w:style w:type="paragraph" w:styleId="CommentText">
    <w:name w:val="annotation text"/>
    <w:basedOn w:val="Normal"/>
    <w:link w:val="CommentTextChar"/>
    <w:uiPriority w:val="99"/>
    <w:semiHidden/>
    <w:unhideWhenUsed/>
    <w:rsid w:val="00D87A9C"/>
    <w:pPr>
      <w:spacing w:line="240" w:lineRule="auto"/>
    </w:pPr>
    <w:rPr>
      <w:sz w:val="20"/>
      <w:szCs w:val="20"/>
    </w:rPr>
  </w:style>
  <w:style w:type="character" w:customStyle="1" w:styleId="CommentTextChar">
    <w:name w:val="Comment Text Char"/>
    <w:basedOn w:val="DefaultParagraphFont"/>
    <w:link w:val="CommentText"/>
    <w:uiPriority w:val="99"/>
    <w:semiHidden/>
    <w:rsid w:val="00D87A9C"/>
    <w:rPr>
      <w:sz w:val="20"/>
      <w:szCs w:val="20"/>
    </w:rPr>
  </w:style>
  <w:style w:type="paragraph" w:styleId="CommentSubject">
    <w:name w:val="annotation subject"/>
    <w:basedOn w:val="CommentText"/>
    <w:next w:val="CommentText"/>
    <w:link w:val="CommentSubjectChar"/>
    <w:uiPriority w:val="99"/>
    <w:semiHidden/>
    <w:unhideWhenUsed/>
    <w:rsid w:val="00D87A9C"/>
    <w:rPr>
      <w:b/>
      <w:bCs/>
    </w:rPr>
  </w:style>
  <w:style w:type="character" w:customStyle="1" w:styleId="CommentSubjectChar">
    <w:name w:val="Comment Subject Char"/>
    <w:basedOn w:val="CommentTextChar"/>
    <w:link w:val="CommentSubject"/>
    <w:uiPriority w:val="99"/>
    <w:semiHidden/>
    <w:rsid w:val="00D87A9C"/>
    <w:rPr>
      <w:b/>
      <w:bCs/>
      <w:sz w:val="20"/>
      <w:szCs w:val="20"/>
    </w:rPr>
  </w:style>
  <w:style w:type="character" w:customStyle="1" w:styleId="Heading1Char">
    <w:name w:val="Heading 1 Char"/>
    <w:basedOn w:val="DefaultParagraphFont"/>
    <w:link w:val="Heading1"/>
    <w:uiPriority w:val="9"/>
    <w:rsid w:val="003A43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D5509"/>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639">
      <w:bodyDiv w:val="1"/>
      <w:marLeft w:val="0"/>
      <w:marRight w:val="0"/>
      <w:marTop w:val="0"/>
      <w:marBottom w:val="0"/>
      <w:divBdr>
        <w:top w:val="none" w:sz="0" w:space="0" w:color="auto"/>
        <w:left w:val="none" w:sz="0" w:space="0" w:color="auto"/>
        <w:bottom w:val="none" w:sz="0" w:space="0" w:color="auto"/>
        <w:right w:val="none" w:sz="0" w:space="0" w:color="auto"/>
      </w:divBdr>
    </w:div>
    <w:div w:id="9063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kmat.ranjbar@kbd.dabs.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wais.fazly@dabs.a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Ajmal Yousufzai</dc:creator>
  <cp:lastModifiedBy>Mirwais Fazly</cp:lastModifiedBy>
  <cp:revision>7</cp:revision>
  <dcterms:created xsi:type="dcterms:W3CDTF">2020-03-15T10:08:00Z</dcterms:created>
  <dcterms:modified xsi:type="dcterms:W3CDTF">2020-03-15T11:11:00Z</dcterms:modified>
</cp:coreProperties>
</file>